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F38EC" w14:textId="77777777" w:rsidR="004B1FE9" w:rsidRPr="00B9191B" w:rsidRDefault="004B1FE9" w:rsidP="004B1FE9">
      <w:pPr>
        <w:spacing w:after="0"/>
        <w:jc w:val="center"/>
        <w:rPr>
          <w:rFonts w:asciiTheme="majorBidi" w:hAnsiTheme="majorBidi" w:cstheme="majorBidi"/>
          <w:b/>
        </w:rPr>
      </w:pPr>
      <w:r w:rsidRPr="00B9191B">
        <w:rPr>
          <w:rFonts w:asciiTheme="majorBidi" w:hAnsiTheme="majorBidi" w:cstheme="majorBidi"/>
          <w:b/>
        </w:rPr>
        <w:t>SOAH DOCKET NO. 473-18-1905.WS</w:t>
      </w:r>
    </w:p>
    <w:p w14:paraId="59775A86" w14:textId="77777777" w:rsidR="004B1FE9" w:rsidRPr="00B9191B" w:rsidRDefault="004B1FE9" w:rsidP="00B9191B">
      <w:pPr>
        <w:spacing w:after="0"/>
        <w:jc w:val="center"/>
        <w:rPr>
          <w:rFonts w:asciiTheme="majorBidi" w:hAnsiTheme="majorBidi" w:cstheme="majorBidi"/>
          <w:b/>
        </w:rPr>
      </w:pPr>
      <w:r w:rsidRPr="00B9191B">
        <w:rPr>
          <w:rFonts w:asciiTheme="majorBidi" w:hAnsiTheme="majorBidi" w:cstheme="majorBidi"/>
          <w:b/>
        </w:rPr>
        <w:t>PUC DOCKET NO. 47863</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1710"/>
        <w:gridCol w:w="3870"/>
      </w:tblGrid>
      <w:tr w:rsidR="004B1FE9" w:rsidRPr="00B9191B" w14:paraId="63231065" w14:textId="77777777" w:rsidTr="00632F75">
        <w:tc>
          <w:tcPr>
            <w:tcW w:w="4068" w:type="dxa"/>
          </w:tcPr>
          <w:p w14:paraId="52D8A7A3" w14:textId="77777777" w:rsidR="004B1FE9" w:rsidRPr="00B9191B" w:rsidRDefault="004B1FE9" w:rsidP="00632F75">
            <w:pPr>
              <w:jc w:val="left"/>
              <w:rPr>
                <w:rFonts w:asciiTheme="majorBidi" w:hAnsiTheme="majorBidi" w:cstheme="majorBidi"/>
                <w:b/>
              </w:rPr>
            </w:pPr>
          </w:p>
          <w:p w14:paraId="5CA3F3B3" w14:textId="77777777" w:rsidR="004B1FE9" w:rsidRPr="00B9191B" w:rsidRDefault="004B1FE9" w:rsidP="00632F75">
            <w:pPr>
              <w:jc w:val="left"/>
              <w:rPr>
                <w:rFonts w:asciiTheme="majorBidi" w:hAnsiTheme="majorBidi" w:cstheme="majorBidi"/>
                <w:b/>
              </w:rPr>
            </w:pPr>
            <w:r w:rsidRPr="00B9191B">
              <w:rPr>
                <w:rFonts w:asciiTheme="majorBidi" w:hAnsiTheme="majorBidi" w:cstheme="majorBidi"/>
                <w:b/>
              </w:rPr>
              <w:t>PETITION OF THE CITIES OF</w:t>
            </w:r>
          </w:p>
        </w:tc>
        <w:tc>
          <w:tcPr>
            <w:tcW w:w="1710" w:type="dxa"/>
          </w:tcPr>
          <w:p w14:paraId="18C911EA" w14:textId="77777777" w:rsidR="004B1FE9" w:rsidRPr="00B9191B" w:rsidRDefault="004B1FE9" w:rsidP="00B9191B">
            <w:pPr>
              <w:rPr>
                <w:rFonts w:asciiTheme="majorBidi" w:hAnsiTheme="majorBidi" w:cstheme="majorBidi"/>
                <w:b/>
              </w:rPr>
            </w:pPr>
          </w:p>
          <w:p w14:paraId="74C10975" w14:textId="77777777" w:rsidR="004B1FE9" w:rsidRPr="00B9191B" w:rsidRDefault="004B1FE9" w:rsidP="00632F75">
            <w:pPr>
              <w:jc w:val="center"/>
              <w:rPr>
                <w:rFonts w:asciiTheme="majorBidi" w:hAnsiTheme="majorBidi" w:cstheme="majorBidi"/>
                <w:b/>
              </w:rPr>
            </w:pPr>
            <w:r w:rsidRPr="00B9191B">
              <w:rPr>
                <w:rFonts w:asciiTheme="majorBidi" w:hAnsiTheme="majorBidi" w:cstheme="majorBidi"/>
                <w:b/>
              </w:rPr>
              <w:t>§</w:t>
            </w:r>
          </w:p>
        </w:tc>
        <w:tc>
          <w:tcPr>
            <w:tcW w:w="3870" w:type="dxa"/>
          </w:tcPr>
          <w:p w14:paraId="2C94CA56" w14:textId="77777777" w:rsidR="004B1FE9" w:rsidRPr="00B9191B" w:rsidRDefault="004B1FE9" w:rsidP="00632F75">
            <w:pPr>
              <w:jc w:val="center"/>
              <w:rPr>
                <w:rFonts w:asciiTheme="majorBidi" w:hAnsiTheme="majorBidi" w:cstheme="majorBidi"/>
                <w:b/>
              </w:rPr>
            </w:pPr>
          </w:p>
        </w:tc>
      </w:tr>
      <w:tr w:rsidR="004B1FE9" w:rsidRPr="00B9191B" w14:paraId="76ADEDC8" w14:textId="77777777" w:rsidTr="00632F75">
        <w:tc>
          <w:tcPr>
            <w:tcW w:w="4068" w:type="dxa"/>
          </w:tcPr>
          <w:p w14:paraId="5338D3A6" w14:textId="77777777" w:rsidR="004B1FE9" w:rsidRPr="00B9191B" w:rsidRDefault="004B1FE9" w:rsidP="00632F75">
            <w:pPr>
              <w:jc w:val="left"/>
              <w:rPr>
                <w:rFonts w:asciiTheme="majorBidi" w:hAnsiTheme="majorBidi" w:cstheme="majorBidi"/>
                <w:b/>
              </w:rPr>
            </w:pPr>
            <w:r w:rsidRPr="00B9191B">
              <w:rPr>
                <w:rFonts w:asciiTheme="majorBidi" w:hAnsiTheme="majorBidi" w:cstheme="majorBidi"/>
                <w:b/>
              </w:rPr>
              <w:t xml:space="preserve">GARLAND, MESQUITE, PLANO,  AND RICHARDSON APPEALING                </w:t>
            </w:r>
          </w:p>
        </w:tc>
        <w:tc>
          <w:tcPr>
            <w:tcW w:w="1710" w:type="dxa"/>
          </w:tcPr>
          <w:p w14:paraId="461C62CB" w14:textId="77777777" w:rsidR="004B1FE9" w:rsidRPr="00B9191B" w:rsidRDefault="004B1FE9" w:rsidP="00632F75">
            <w:pPr>
              <w:jc w:val="center"/>
              <w:rPr>
                <w:rFonts w:asciiTheme="majorBidi" w:hAnsiTheme="majorBidi" w:cstheme="majorBidi"/>
                <w:b/>
              </w:rPr>
            </w:pPr>
            <w:r w:rsidRPr="00B9191B">
              <w:rPr>
                <w:rFonts w:asciiTheme="majorBidi" w:hAnsiTheme="majorBidi" w:cstheme="majorBidi"/>
                <w:b/>
              </w:rPr>
              <w:t>§</w:t>
            </w:r>
          </w:p>
          <w:p w14:paraId="4A06D745" w14:textId="77777777" w:rsidR="004B1FE9" w:rsidRPr="00B9191B" w:rsidRDefault="004B1FE9" w:rsidP="00632F75">
            <w:pPr>
              <w:jc w:val="center"/>
              <w:rPr>
                <w:rFonts w:asciiTheme="majorBidi" w:hAnsiTheme="majorBidi" w:cstheme="majorBidi"/>
                <w:b/>
              </w:rPr>
            </w:pPr>
            <w:r w:rsidRPr="00B9191B">
              <w:rPr>
                <w:rFonts w:asciiTheme="majorBidi" w:hAnsiTheme="majorBidi" w:cstheme="majorBidi"/>
                <w:b/>
              </w:rPr>
              <w:t>§</w:t>
            </w:r>
          </w:p>
        </w:tc>
        <w:tc>
          <w:tcPr>
            <w:tcW w:w="3870" w:type="dxa"/>
          </w:tcPr>
          <w:p w14:paraId="037D3D86" w14:textId="77777777" w:rsidR="004B1FE9" w:rsidRPr="00B9191B" w:rsidRDefault="004B1FE9" w:rsidP="00632F75">
            <w:pPr>
              <w:jc w:val="left"/>
              <w:rPr>
                <w:rFonts w:asciiTheme="majorBidi" w:hAnsiTheme="majorBidi" w:cstheme="majorBidi"/>
                <w:b/>
              </w:rPr>
            </w:pPr>
            <w:r w:rsidRPr="00B9191B">
              <w:rPr>
                <w:rFonts w:asciiTheme="majorBidi" w:hAnsiTheme="majorBidi" w:cstheme="majorBidi"/>
                <w:b/>
              </w:rPr>
              <w:t xml:space="preserve">        PUBLIC UTILITY</w:t>
            </w:r>
          </w:p>
        </w:tc>
      </w:tr>
      <w:tr w:rsidR="004B1FE9" w:rsidRPr="00B9191B" w14:paraId="086190BE" w14:textId="77777777" w:rsidTr="00632F75">
        <w:tc>
          <w:tcPr>
            <w:tcW w:w="4068" w:type="dxa"/>
          </w:tcPr>
          <w:p w14:paraId="09880307" w14:textId="77777777" w:rsidR="004B1FE9" w:rsidRPr="00B9191B" w:rsidRDefault="004B1FE9" w:rsidP="00632F75">
            <w:pPr>
              <w:jc w:val="left"/>
              <w:rPr>
                <w:rFonts w:asciiTheme="majorBidi" w:hAnsiTheme="majorBidi" w:cstheme="majorBidi"/>
                <w:b/>
              </w:rPr>
            </w:pPr>
            <w:r w:rsidRPr="00B9191B">
              <w:rPr>
                <w:rFonts w:asciiTheme="majorBidi" w:hAnsiTheme="majorBidi" w:cstheme="majorBidi"/>
                <w:b/>
              </w:rPr>
              <w:t>THE DECISION BY NORTH TEXAS MUNICIPAL WATER DISTRICT AFFECTING 2018 WHOLESALE WATER RATES</w:t>
            </w:r>
          </w:p>
        </w:tc>
        <w:tc>
          <w:tcPr>
            <w:tcW w:w="1710" w:type="dxa"/>
          </w:tcPr>
          <w:p w14:paraId="41E8D046" w14:textId="77777777" w:rsidR="004B1FE9" w:rsidRPr="00B9191B" w:rsidRDefault="004B1FE9" w:rsidP="00632F75">
            <w:pPr>
              <w:jc w:val="center"/>
              <w:rPr>
                <w:rFonts w:asciiTheme="majorBidi" w:hAnsiTheme="majorBidi" w:cstheme="majorBidi"/>
                <w:b/>
              </w:rPr>
            </w:pPr>
            <w:r w:rsidRPr="00B9191B">
              <w:rPr>
                <w:rFonts w:asciiTheme="majorBidi" w:hAnsiTheme="majorBidi" w:cstheme="majorBidi"/>
                <w:b/>
              </w:rPr>
              <w:t>§</w:t>
            </w:r>
          </w:p>
          <w:p w14:paraId="1B8AF821" w14:textId="77777777" w:rsidR="004B1FE9" w:rsidRPr="00B9191B" w:rsidRDefault="004B1FE9" w:rsidP="00632F75">
            <w:pPr>
              <w:jc w:val="center"/>
              <w:rPr>
                <w:rFonts w:asciiTheme="majorBidi" w:hAnsiTheme="majorBidi" w:cstheme="majorBidi"/>
                <w:b/>
              </w:rPr>
            </w:pPr>
            <w:r w:rsidRPr="00B9191B">
              <w:rPr>
                <w:rFonts w:asciiTheme="majorBidi" w:hAnsiTheme="majorBidi" w:cstheme="majorBidi"/>
                <w:b/>
              </w:rPr>
              <w:t>§</w:t>
            </w:r>
          </w:p>
          <w:p w14:paraId="3D5DD6A4" w14:textId="77777777" w:rsidR="004B1FE9" w:rsidRPr="00B9191B" w:rsidRDefault="004B1FE9" w:rsidP="00632F75">
            <w:pPr>
              <w:jc w:val="center"/>
              <w:rPr>
                <w:rFonts w:asciiTheme="majorBidi" w:hAnsiTheme="majorBidi" w:cstheme="majorBidi"/>
                <w:b/>
              </w:rPr>
            </w:pPr>
            <w:r w:rsidRPr="00B9191B">
              <w:rPr>
                <w:rFonts w:asciiTheme="majorBidi" w:hAnsiTheme="majorBidi" w:cstheme="majorBidi"/>
                <w:b/>
              </w:rPr>
              <w:t>§</w:t>
            </w:r>
          </w:p>
          <w:p w14:paraId="54002473" w14:textId="77777777" w:rsidR="004B1FE9" w:rsidRPr="00B9191B" w:rsidRDefault="004B1FE9" w:rsidP="00632F75">
            <w:pPr>
              <w:jc w:val="center"/>
              <w:rPr>
                <w:rFonts w:asciiTheme="majorBidi" w:hAnsiTheme="majorBidi" w:cstheme="majorBidi"/>
                <w:b/>
              </w:rPr>
            </w:pPr>
            <w:r w:rsidRPr="00B9191B">
              <w:rPr>
                <w:rFonts w:asciiTheme="majorBidi" w:hAnsiTheme="majorBidi" w:cstheme="majorBidi"/>
                <w:b/>
              </w:rPr>
              <w:t>§</w:t>
            </w:r>
          </w:p>
          <w:p w14:paraId="24832592" w14:textId="77777777" w:rsidR="004B1FE9" w:rsidRPr="00B9191B" w:rsidRDefault="004B1FE9" w:rsidP="00632F75">
            <w:pPr>
              <w:jc w:val="center"/>
              <w:rPr>
                <w:rFonts w:asciiTheme="majorBidi" w:hAnsiTheme="majorBidi" w:cstheme="majorBidi"/>
                <w:b/>
              </w:rPr>
            </w:pPr>
          </w:p>
        </w:tc>
        <w:tc>
          <w:tcPr>
            <w:tcW w:w="3870" w:type="dxa"/>
          </w:tcPr>
          <w:p w14:paraId="56452B0E" w14:textId="77777777" w:rsidR="004B1FE9" w:rsidRPr="00B9191B" w:rsidRDefault="004B1FE9" w:rsidP="00632F75">
            <w:pPr>
              <w:jc w:val="left"/>
              <w:rPr>
                <w:rFonts w:asciiTheme="majorBidi" w:hAnsiTheme="majorBidi" w:cstheme="majorBidi"/>
                <w:b/>
              </w:rPr>
            </w:pPr>
            <w:r w:rsidRPr="00B9191B">
              <w:rPr>
                <w:rFonts w:asciiTheme="majorBidi" w:hAnsiTheme="majorBidi" w:cstheme="majorBidi"/>
                <w:b/>
              </w:rPr>
              <w:t xml:space="preserve">      </w:t>
            </w:r>
          </w:p>
          <w:p w14:paraId="369189D5" w14:textId="77777777" w:rsidR="004B1FE9" w:rsidRPr="00B9191B" w:rsidRDefault="004B1FE9" w:rsidP="00632F75">
            <w:pPr>
              <w:jc w:val="left"/>
              <w:rPr>
                <w:rFonts w:asciiTheme="majorBidi" w:hAnsiTheme="majorBidi" w:cstheme="majorBidi"/>
                <w:b/>
              </w:rPr>
            </w:pPr>
            <w:r w:rsidRPr="00B9191B">
              <w:rPr>
                <w:rFonts w:asciiTheme="majorBidi" w:hAnsiTheme="majorBidi" w:cstheme="majorBidi"/>
                <w:b/>
              </w:rPr>
              <w:t>COMMISSION OF TEXAS</w:t>
            </w:r>
          </w:p>
        </w:tc>
      </w:tr>
    </w:tbl>
    <w:p w14:paraId="08A4DCE1" w14:textId="43D023DC" w:rsidR="001373CE" w:rsidRPr="00B9191B" w:rsidRDefault="00933625" w:rsidP="001373CE">
      <w:pPr>
        <w:spacing w:after="0"/>
        <w:jc w:val="center"/>
        <w:rPr>
          <w:rFonts w:asciiTheme="majorBidi" w:hAnsiTheme="majorBidi" w:cstheme="majorBidi"/>
          <w:b/>
        </w:rPr>
      </w:pPr>
      <w:bookmarkStart w:id="0" w:name="_Hlk506915386"/>
      <w:r w:rsidRPr="00B9191B">
        <w:rPr>
          <w:rFonts w:asciiTheme="majorBidi" w:hAnsiTheme="majorBidi" w:cstheme="majorBidi"/>
          <w:b/>
        </w:rPr>
        <w:t>THE PETITIONING CITIES’</w:t>
      </w:r>
      <w:r w:rsidR="001373CE" w:rsidRPr="00B9191B">
        <w:rPr>
          <w:rFonts w:asciiTheme="majorBidi" w:hAnsiTheme="majorBidi" w:cstheme="majorBidi"/>
          <w:b/>
        </w:rPr>
        <w:t xml:space="preserve"> RE</w:t>
      </w:r>
      <w:r w:rsidR="00F51F91" w:rsidRPr="00B9191B">
        <w:rPr>
          <w:rFonts w:asciiTheme="majorBidi" w:hAnsiTheme="majorBidi" w:cstheme="majorBidi"/>
          <w:b/>
        </w:rPr>
        <w:t>SPONSE</w:t>
      </w:r>
      <w:r w:rsidR="001373CE" w:rsidRPr="00B9191B">
        <w:rPr>
          <w:rFonts w:asciiTheme="majorBidi" w:hAnsiTheme="majorBidi" w:cstheme="majorBidi"/>
          <w:b/>
        </w:rPr>
        <w:t xml:space="preserve"> </w:t>
      </w:r>
    </w:p>
    <w:p w14:paraId="511E7948" w14:textId="66E3A71F" w:rsidR="00D24F2D" w:rsidRPr="00B9191B" w:rsidRDefault="001373CE" w:rsidP="000651A6">
      <w:pPr>
        <w:spacing w:after="0" w:line="480" w:lineRule="auto"/>
        <w:jc w:val="center"/>
        <w:rPr>
          <w:rFonts w:asciiTheme="majorBidi" w:hAnsiTheme="majorBidi" w:cstheme="majorBidi"/>
          <w:b/>
          <w:u w:val="single"/>
        </w:rPr>
      </w:pPr>
      <w:r w:rsidRPr="00B9191B">
        <w:rPr>
          <w:rFonts w:asciiTheme="majorBidi" w:hAnsiTheme="majorBidi" w:cstheme="majorBidi"/>
          <w:b/>
          <w:u w:val="single"/>
        </w:rPr>
        <w:t xml:space="preserve">TO </w:t>
      </w:r>
      <w:r w:rsidR="00933625" w:rsidRPr="00B9191B">
        <w:rPr>
          <w:rFonts w:asciiTheme="majorBidi" w:hAnsiTheme="majorBidi" w:cstheme="majorBidi"/>
          <w:b/>
          <w:u w:val="single"/>
        </w:rPr>
        <w:t xml:space="preserve">THE </w:t>
      </w:r>
      <w:r w:rsidRPr="00B9191B">
        <w:rPr>
          <w:rFonts w:asciiTheme="majorBidi" w:hAnsiTheme="majorBidi" w:cstheme="majorBidi"/>
          <w:b/>
          <w:u w:val="single"/>
        </w:rPr>
        <w:t xml:space="preserve">DISTRICT’S </w:t>
      </w:r>
      <w:r w:rsidR="002D00F5" w:rsidRPr="00B9191B">
        <w:rPr>
          <w:rFonts w:asciiTheme="majorBidi" w:hAnsiTheme="majorBidi" w:cstheme="majorBidi"/>
          <w:b/>
          <w:u w:val="single"/>
        </w:rPr>
        <w:t>MOTION TO DISMISS</w:t>
      </w:r>
    </w:p>
    <w:bookmarkEnd w:id="0"/>
    <w:p w14:paraId="19D03237" w14:textId="4435EE05" w:rsidR="001B5540" w:rsidRDefault="003D503D">
      <w:pPr>
        <w:pStyle w:val="TOC1"/>
        <w:tabs>
          <w:tab w:val="right" w:leader="dot" w:pos="9350"/>
        </w:tabs>
        <w:rPr>
          <w:rFonts w:asciiTheme="minorHAnsi" w:eastAsiaTheme="minorEastAsia" w:hAnsiTheme="minorHAnsi"/>
          <w:noProof/>
          <w:sz w:val="22"/>
          <w:szCs w:val="22"/>
          <w:lang w:eastAsia="zh-CN"/>
        </w:rPr>
      </w:pPr>
      <w:r>
        <w:fldChar w:fldCharType="begin"/>
      </w:r>
      <w:r>
        <w:instrText xml:space="preserve"> TOC \t "Heading 1,1,Heading 2,2,Heading 3,3" \h </w:instrText>
      </w:r>
      <w:r>
        <w:fldChar w:fldCharType="separate"/>
      </w:r>
      <w:hyperlink w:anchor="_Toc507619260" w:history="1">
        <w:r w:rsidR="001B5540" w:rsidRPr="00C3618E">
          <w:rPr>
            <w:rStyle w:val="Hyperlink"/>
            <w:rFonts w:asciiTheme="majorBidi" w:hAnsiTheme="majorBidi" w:cstheme="majorBidi"/>
            <w:noProof/>
          </w:rPr>
          <w:t>I. Executive Summary</w:t>
        </w:r>
        <w:r w:rsidR="001B5540">
          <w:rPr>
            <w:noProof/>
          </w:rPr>
          <w:tab/>
        </w:r>
        <w:r w:rsidR="001B5540">
          <w:rPr>
            <w:noProof/>
          </w:rPr>
          <w:fldChar w:fldCharType="begin"/>
        </w:r>
        <w:r w:rsidR="001B5540">
          <w:rPr>
            <w:noProof/>
          </w:rPr>
          <w:instrText xml:space="preserve"> PAGEREF _Toc507619260 \h </w:instrText>
        </w:r>
        <w:r w:rsidR="001B5540">
          <w:rPr>
            <w:noProof/>
          </w:rPr>
        </w:r>
        <w:r w:rsidR="001B5540">
          <w:rPr>
            <w:noProof/>
          </w:rPr>
          <w:fldChar w:fldCharType="separate"/>
        </w:r>
        <w:r w:rsidR="00545FC2">
          <w:rPr>
            <w:noProof/>
          </w:rPr>
          <w:t>2</w:t>
        </w:r>
        <w:r w:rsidR="001B5540">
          <w:rPr>
            <w:noProof/>
          </w:rPr>
          <w:fldChar w:fldCharType="end"/>
        </w:r>
      </w:hyperlink>
    </w:p>
    <w:p w14:paraId="63231755" w14:textId="3CC43BAD" w:rsidR="001B5540" w:rsidRDefault="00545FC2">
      <w:pPr>
        <w:pStyle w:val="TOC1"/>
        <w:tabs>
          <w:tab w:val="right" w:leader="dot" w:pos="9350"/>
        </w:tabs>
        <w:rPr>
          <w:rFonts w:asciiTheme="minorHAnsi" w:eastAsiaTheme="minorEastAsia" w:hAnsiTheme="minorHAnsi"/>
          <w:noProof/>
          <w:sz w:val="22"/>
          <w:szCs w:val="22"/>
          <w:lang w:eastAsia="zh-CN"/>
        </w:rPr>
      </w:pPr>
      <w:hyperlink w:anchor="_Toc507619261" w:history="1">
        <w:r w:rsidR="001B5540" w:rsidRPr="00C3618E">
          <w:rPr>
            <w:rStyle w:val="Hyperlink"/>
            <w:rFonts w:asciiTheme="majorBidi" w:hAnsiTheme="majorBidi" w:cstheme="majorBidi"/>
            <w:noProof/>
          </w:rPr>
          <w:t>II. Procedural Background</w:t>
        </w:r>
        <w:r w:rsidR="001B5540">
          <w:rPr>
            <w:noProof/>
          </w:rPr>
          <w:tab/>
        </w:r>
        <w:r w:rsidR="001B5540">
          <w:rPr>
            <w:noProof/>
          </w:rPr>
          <w:fldChar w:fldCharType="begin"/>
        </w:r>
        <w:r w:rsidR="001B5540">
          <w:rPr>
            <w:noProof/>
          </w:rPr>
          <w:instrText xml:space="preserve"> PAGEREF _Toc507619261 \h </w:instrText>
        </w:r>
        <w:r w:rsidR="001B5540">
          <w:rPr>
            <w:noProof/>
          </w:rPr>
        </w:r>
        <w:r w:rsidR="001B5540">
          <w:rPr>
            <w:noProof/>
          </w:rPr>
          <w:fldChar w:fldCharType="separate"/>
        </w:r>
        <w:r>
          <w:rPr>
            <w:noProof/>
          </w:rPr>
          <w:t>3</w:t>
        </w:r>
        <w:r w:rsidR="001B5540">
          <w:rPr>
            <w:noProof/>
          </w:rPr>
          <w:fldChar w:fldCharType="end"/>
        </w:r>
      </w:hyperlink>
    </w:p>
    <w:p w14:paraId="5443104A" w14:textId="1A268A78" w:rsidR="001B5540" w:rsidRDefault="00545FC2">
      <w:pPr>
        <w:pStyle w:val="TOC1"/>
        <w:tabs>
          <w:tab w:val="right" w:leader="dot" w:pos="9350"/>
        </w:tabs>
        <w:rPr>
          <w:rFonts w:asciiTheme="minorHAnsi" w:eastAsiaTheme="minorEastAsia" w:hAnsiTheme="minorHAnsi"/>
          <w:noProof/>
          <w:sz w:val="22"/>
          <w:szCs w:val="22"/>
          <w:lang w:eastAsia="zh-CN"/>
        </w:rPr>
      </w:pPr>
      <w:hyperlink w:anchor="_Toc507619262" w:history="1">
        <w:r w:rsidR="001B5540" w:rsidRPr="00C3618E">
          <w:rPr>
            <w:rStyle w:val="Hyperlink"/>
            <w:noProof/>
          </w:rPr>
          <w:t>III. Response</w:t>
        </w:r>
        <w:r w:rsidR="001B5540">
          <w:rPr>
            <w:noProof/>
          </w:rPr>
          <w:tab/>
        </w:r>
        <w:r w:rsidR="001B5540">
          <w:rPr>
            <w:noProof/>
          </w:rPr>
          <w:fldChar w:fldCharType="begin"/>
        </w:r>
        <w:r w:rsidR="001B5540">
          <w:rPr>
            <w:noProof/>
          </w:rPr>
          <w:instrText xml:space="preserve"> PAGEREF _Toc507619262 \h </w:instrText>
        </w:r>
        <w:r w:rsidR="001B5540">
          <w:rPr>
            <w:noProof/>
          </w:rPr>
        </w:r>
        <w:r w:rsidR="001B5540">
          <w:rPr>
            <w:noProof/>
          </w:rPr>
          <w:fldChar w:fldCharType="separate"/>
        </w:r>
        <w:r>
          <w:rPr>
            <w:noProof/>
          </w:rPr>
          <w:t>4</w:t>
        </w:r>
        <w:r w:rsidR="001B5540">
          <w:rPr>
            <w:noProof/>
          </w:rPr>
          <w:fldChar w:fldCharType="end"/>
        </w:r>
      </w:hyperlink>
    </w:p>
    <w:p w14:paraId="2BD4BCC1" w14:textId="031B2901" w:rsidR="001B5540" w:rsidRDefault="00545FC2">
      <w:pPr>
        <w:pStyle w:val="TOC2"/>
        <w:tabs>
          <w:tab w:val="left" w:pos="1125"/>
        </w:tabs>
        <w:rPr>
          <w:rFonts w:asciiTheme="minorHAnsi" w:eastAsiaTheme="minorEastAsia" w:hAnsiTheme="minorHAnsi"/>
          <w:noProof/>
          <w:sz w:val="22"/>
          <w:szCs w:val="22"/>
          <w:lang w:eastAsia="zh-CN"/>
        </w:rPr>
      </w:pPr>
      <w:hyperlink w:anchor="_Toc507619263" w:history="1">
        <w:r w:rsidR="001B5540" w:rsidRPr="00C3618E">
          <w:rPr>
            <w:rStyle w:val="Hyperlink"/>
            <w:noProof/>
          </w:rPr>
          <w:t>A.</w:t>
        </w:r>
        <w:r w:rsidR="001B5540">
          <w:rPr>
            <w:rFonts w:asciiTheme="minorHAnsi" w:eastAsiaTheme="minorEastAsia" w:hAnsiTheme="minorHAnsi"/>
            <w:noProof/>
            <w:sz w:val="22"/>
            <w:szCs w:val="22"/>
            <w:lang w:eastAsia="zh-CN"/>
          </w:rPr>
          <w:tab/>
        </w:r>
        <w:r w:rsidR="001B5540" w:rsidRPr="00C3618E">
          <w:rPr>
            <w:rStyle w:val="Hyperlink"/>
            <w:noProof/>
          </w:rPr>
          <w:t>Section 13.043(f) of the Texas Water Code Authorizes the Commission to Review the District’s Rates</w:t>
        </w:r>
        <w:r w:rsidR="001B5540">
          <w:rPr>
            <w:noProof/>
          </w:rPr>
          <w:tab/>
        </w:r>
        <w:r w:rsidR="001B5540">
          <w:rPr>
            <w:noProof/>
          </w:rPr>
          <w:fldChar w:fldCharType="begin"/>
        </w:r>
        <w:r w:rsidR="001B5540">
          <w:rPr>
            <w:noProof/>
          </w:rPr>
          <w:instrText xml:space="preserve"> PAGEREF _Toc507619263 \h </w:instrText>
        </w:r>
        <w:r w:rsidR="001B5540">
          <w:rPr>
            <w:noProof/>
          </w:rPr>
        </w:r>
        <w:r w:rsidR="001B5540">
          <w:rPr>
            <w:noProof/>
          </w:rPr>
          <w:fldChar w:fldCharType="separate"/>
        </w:r>
        <w:r>
          <w:rPr>
            <w:noProof/>
          </w:rPr>
          <w:t>5</w:t>
        </w:r>
        <w:r w:rsidR="001B5540">
          <w:rPr>
            <w:noProof/>
          </w:rPr>
          <w:fldChar w:fldCharType="end"/>
        </w:r>
      </w:hyperlink>
    </w:p>
    <w:p w14:paraId="1B59F1BC" w14:textId="7C1F5F8F" w:rsidR="001B5540" w:rsidRDefault="00545FC2">
      <w:pPr>
        <w:pStyle w:val="TOC3"/>
        <w:tabs>
          <w:tab w:val="left" w:pos="1200"/>
        </w:tabs>
        <w:rPr>
          <w:rFonts w:asciiTheme="minorHAnsi" w:eastAsiaTheme="minorEastAsia" w:hAnsiTheme="minorHAnsi"/>
          <w:noProof/>
          <w:sz w:val="22"/>
          <w:szCs w:val="22"/>
          <w:lang w:eastAsia="zh-CN"/>
        </w:rPr>
      </w:pPr>
      <w:hyperlink w:anchor="_Toc507619264" w:history="1">
        <w:r w:rsidR="001B5540" w:rsidRPr="00C3618E">
          <w:rPr>
            <w:rStyle w:val="Hyperlink"/>
            <w:noProof/>
          </w:rPr>
          <w:t>1.</w:t>
        </w:r>
        <w:r w:rsidR="001B5540">
          <w:rPr>
            <w:rFonts w:asciiTheme="minorHAnsi" w:eastAsiaTheme="minorEastAsia" w:hAnsiTheme="minorHAnsi"/>
            <w:noProof/>
            <w:sz w:val="22"/>
            <w:szCs w:val="22"/>
            <w:lang w:eastAsia="zh-CN"/>
          </w:rPr>
          <w:tab/>
        </w:r>
        <w:r w:rsidR="001B5540" w:rsidRPr="00C3618E">
          <w:rPr>
            <w:rStyle w:val="Hyperlink"/>
            <w:noProof/>
          </w:rPr>
          <w:t>The District, Not the Contract, Sets the Rates</w:t>
        </w:r>
        <w:r w:rsidR="001B5540">
          <w:rPr>
            <w:noProof/>
          </w:rPr>
          <w:tab/>
        </w:r>
        <w:r w:rsidR="001B5540">
          <w:rPr>
            <w:noProof/>
          </w:rPr>
          <w:fldChar w:fldCharType="begin"/>
        </w:r>
        <w:r w:rsidR="001B5540">
          <w:rPr>
            <w:noProof/>
          </w:rPr>
          <w:instrText xml:space="preserve"> PAGEREF _Toc507619264 \h </w:instrText>
        </w:r>
        <w:r w:rsidR="001B5540">
          <w:rPr>
            <w:noProof/>
          </w:rPr>
        </w:r>
        <w:r w:rsidR="001B5540">
          <w:rPr>
            <w:noProof/>
          </w:rPr>
          <w:fldChar w:fldCharType="separate"/>
        </w:r>
        <w:r>
          <w:rPr>
            <w:noProof/>
          </w:rPr>
          <w:t>6</w:t>
        </w:r>
        <w:r w:rsidR="001B5540">
          <w:rPr>
            <w:noProof/>
          </w:rPr>
          <w:fldChar w:fldCharType="end"/>
        </w:r>
      </w:hyperlink>
    </w:p>
    <w:p w14:paraId="649B86EC" w14:textId="763A36ED" w:rsidR="001B5540" w:rsidRDefault="00545FC2">
      <w:pPr>
        <w:pStyle w:val="TOC3"/>
        <w:tabs>
          <w:tab w:val="left" w:pos="1200"/>
        </w:tabs>
        <w:rPr>
          <w:rFonts w:asciiTheme="minorHAnsi" w:eastAsiaTheme="minorEastAsia" w:hAnsiTheme="minorHAnsi"/>
          <w:noProof/>
          <w:sz w:val="22"/>
          <w:szCs w:val="22"/>
          <w:lang w:eastAsia="zh-CN"/>
        </w:rPr>
      </w:pPr>
      <w:hyperlink w:anchor="_Toc507619265" w:history="1">
        <w:r w:rsidR="001B5540" w:rsidRPr="00C3618E">
          <w:rPr>
            <w:rStyle w:val="Hyperlink"/>
            <w:noProof/>
          </w:rPr>
          <w:t>2.</w:t>
        </w:r>
        <w:r w:rsidR="001B5540">
          <w:rPr>
            <w:rFonts w:asciiTheme="minorHAnsi" w:eastAsiaTheme="minorEastAsia" w:hAnsiTheme="minorHAnsi"/>
            <w:noProof/>
            <w:sz w:val="22"/>
            <w:szCs w:val="22"/>
            <w:lang w:eastAsia="zh-CN"/>
          </w:rPr>
          <w:tab/>
        </w:r>
        <w:r w:rsidR="001B5540" w:rsidRPr="00C3618E">
          <w:rPr>
            <w:rStyle w:val="Hyperlink"/>
            <w:noProof/>
          </w:rPr>
          <w:t>Courts Have Confirmed That an Agency’s Review of Contractual Rates Is Not a Challenge to the Contract</w:t>
        </w:r>
        <w:r w:rsidR="001B5540">
          <w:rPr>
            <w:noProof/>
          </w:rPr>
          <w:tab/>
        </w:r>
        <w:r w:rsidR="001B5540">
          <w:rPr>
            <w:noProof/>
          </w:rPr>
          <w:fldChar w:fldCharType="begin"/>
        </w:r>
        <w:r w:rsidR="001B5540">
          <w:rPr>
            <w:noProof/>
          </w:rPr>
          <w:instrText xml:space="preserve"> PAGEREF _Toc507619265 \h </w:instrText>
        </w:r>
        <w:r w:rsidR="001B5540">
          <w:rPr>
            <w:noProof/>
          </w:rPr>
        </w:r>
        <w:r w:rsidR="001B5540">
          <w:rPr>
            <w:noProof/>
          </w:rPr>
          <w:fldChar w:fldCharType="separate"/>
        </w:r>
        <w:r>
          <w:rPr>
            <w:noProof/>
          </w:rPr>
          <w:t>6</w:t>
        </w:r>
        <w:r w:rsidR="001B5540">
          <w:rPr>
            <w:noProof/>
          </w:rPr>
          <w:fldChar w:fldCharType="end"/>
        </w:r>
      </w:hyperlink>
    </w:p>
    <w:p w14:paraId="3D93EC78" w14:textId="2A1F9CFA" w:rsidR="001B5540" w:rsidRDefault="00545FC2">
      <w:pPr>
        <w:pStyle w:val="TOC3"/>
        <w:tabs>
          <w:tab w:val="left" w:pos="1200"/>
        </w:tabs>
        <w:rPr>
          <w:rFonts w:asciiTheme="minorHAnsi" w:eastAsiaTheme="minorEastAsia" w:hAnsiTheme="minorHAnsi"/>
          <w:noProof/>
          <w:sz w:val="22"/>
          <w:szCs w:val="22"/>
          <w:lang w:eastAsia="zh-CN"/>
        </w:rPr>
      </w:pPr>
      <w:hyperlink w:anchor="_Toc507619266" w:history="1">
        <w:r w:rsidR="001B5540" w:rsidRPr="00C3618E">
          <w:rPr>
            <w:rStyle w:val="Hyperlink"/>
            <w:noProof/>
          </w:rPr>
          <w:t>3.</w:t>
        </w:r>
        <w:r w:rsidR="001B5540">
          <w:rPr>
            <w:rFonts w:asciiTheme="minorHAnsi" w:eastAsiaTheme="minorEastAsia" w:hAnsiTheme="minorHAnsi"/>
            <w:noProof/>
            <w:sz w:val="22"/>
            <w:szCs w:val="22"/>
            <w:lang w:eastAsia="zh-CN"/>
          </w:rPr>
          <w:tab/>
        </w:r>
        <w:r w:rsidR="001B5540" w:rsidRPr="00C3618E">
          <w:rPr>
            <w:rStyle w:val="Hyperlink"/>
            <w:noProof/>
          </w:rPr>
          <w:t>In the Preamble to the Rules Governing This Appeal, the Texas Water Commission Confirmed That Revie</w:t>
        </w:r>
        <w:bookmarkStart w:id="1" w:name="_GoBack"/>
        <w:bookmarkEnd w:id="1"/>
        <w:r w:rsidR="001B5540" w:rsidRPr="00C3618E">
          <w:rPr>
            <w:rStyle w:val="Hyperlink"/>
            <w:noProof/>
          </w:rPr>
          <w:t>w of Rates Set Pursuant to a Contract Is Not a Challenge to the Contract</w:t>
        </w:r>
        <w:r w:rsidR="001B5540">
          <w:rPr>
            <w:noProof/>
          </w:rPr>
          <w:tab/>
        </w:r>
        <w:r w:rsidR="001B5540">
          <w:rPr>
            <w:noProof/>
          </w:rPr>
          <w:fldChar w:fldCharType="begin"/>
        </w:r>
        <w:r w:rsidR="001B5540">
          <w:rPr>
            <w:noProof/>
          </w:rPr>
          <w:instrText xml:space="preserve"> PAGEREF _Toc507619266 \h </w:instrText>
        </w:r>
        <w:r w:rsidR="001B5540">
          <w:rPr>
            <w:noProof/>
          </w:rPr>
        </w:r>
        <w:r w:rsidR="001B5540">
          <w:rPr>
            <w:noProof/>
          </w:rPr>
          <w:fldChar w:fldCharType="separate"/>
        </w:r>
        <w:r>
          <w:rPr>
            <w:noProof/>
          </w:rPr>
          <w:t>8</w:t>
        </w:r>
        <w:r w:rsidR="001B5540">
          <w:rPr>
            <w:noProof/>
          </w:rPr>
          <w:fldChar w:fldCharType="end"/>
        </w:r>
      </w:hyperlink>
    </w:p>
    <w:p w14:paraId="6EE37E2C" w14:textId="540F716F" w:rsidR="001B5540" w:rsidRDefault="00545FC2">
      <w:pPr>
        <w:pStyle w:val="TOC3"/>
        <w:tabs>
          <w:tab w:val="left" w:pos="1200"/>
        </w:tabs>
        <w:rPr>
          <w:rFonts w:asciiTheme="minorHAnsi" w:eastAsiaTheme="minorEastAsia" w:hAnsiTheme="minorHAnsi"/>
          <w:noProof/>
          <w:sz w:val="22"/>
          <w:szCs w:val="22"/>
          <w:lang w:eastAsia="zh-CN"/>
        </w:rPr>
      </w:pPr>
      <w:hyperlink w:anchor="_Toc507619267" w:history="1">
        <w:r w:rsidR="001B5540" w:rsidRPr="00C3618E">
          <w:rPr>
            <w:rStyle w:val="Hyperlink"/>
            <w:noProof/>
          </w:rPr>
          <w:t>4.</w:t>
        </w:r>
        <w:r w:rsidR="001B5540">
          <w:rPr>
            <w:rFonts w:asciiTheme="minorHAnsi" w:eastAsiaTheme="minorEastAsia" w:hAnsiTheme="minorHAnsi"/>
            <w:noProof/>
            <w:sz w:val="22"/>
            <w:szCs w:val="22"/>
            <w:lang w:eastAsia="zh-CN"/>
          </w:rPr>
          <w:tab/>
        </w:r>
        <w:r w:rsidR="001B5540" w:rsidRPr="00C3618E">
          <w:rPr>
            <w:rStyle w:val="Hyperlink"/>
            <w:noProof/>
          </w:rPr>
          <w:t xml:space="preserve">The </w:t>
        </w:r>
        <w:r w:rsidR="001B5540" w:rsidRPr="00C40822">
          <w:rPr>
            <w:rStyle w:val="Hyperlink"/>
            <w:i/>
            <w:iCs/>
            <w:noProof/>
          </w:rPr>
          <w:t>Canyon Regional</w:t>
        </w:r>
        <w:r w:rsidR="001B5540" w:rsidRPr="00C3618E">
          <w:rPr>
            <w:rStyle w:val="Hyperlink"/>
            <w:noProof/>
          </w:rPr>
          <w:t xml:space="preserve"> Court Affirmed the Validity of the Commission’s Rate Appeal Rules</w:t>
        </w:r>
        <w:r w:rsidR="001B5540">
          <w:rPr>
            <w:noProof/>
          </w:rPr>
          <w:tab/>
        </w:r>
        <w:r w:rsidR="001B5540">
          <w:rPr>
            <w:noProof/>
          </w:rPr>
          <w:fldChar w:fldCharType="begin"/>
        </w:r>
        <w:r w:rsidR="001B5540">
          <w:rPr>
            <w:noProof/>
          </w:rPr>
          <w:instrText xml:space="preserve"> PAGEREF _Toc507619267 \h </w:instrText>
        </w:r>
        <w:r w:rsidR="001B5540">
          <w:rPr>
            <w:noProof/>
          </w:rPr>
        </w:r>
        <w:r w:rsidR="001B5540">
          <w:rPr>
            <w:noProof/>
          </w:rPr>
          <w:fldChar w:fldCharType="separate"/>
        </w:r>
        <w:r>
          <w:rPr>
            <w:noProof/>
          </w:rPr>
          <w:t>9</w:t>
        </w:r>
        <w:r w:rsidR="001B5540">
          <w:rPr>
            <w:noProof/>
          </w:rPr>
          <w:fldChar w:fldCharType="end"/>
        </w:r>
      </w:hyperlink>
    </w:p>
    <w:p w14:paraId="286C623C" w14:textId="1B8D6E43" w:rsidR="001B5540" w:rsidRDefault="00545FC2">
      <w:pPr>
        <w:pStyle w:val="TOC2"/>
        <w:tabs>
          <w:tab w:val="left" w:pos="1125"/>
        </w:tabs>
        <w:rPr>
          <w:rFonts w:asciiTheme="minorHAnsi" w:eastAsiaTheme="minorEastAsia" w:hAnsiTheme="minorHAnsi"/>
          <w:noProof/>
          <w:sz w:val="22"/>
          <w:szCs w:val="22"/>
          <w:lang w:eastAsia="zh-CN"/>
        </w:rPr>
      </w:pPr>
      <w:hyperlink w:anchor="_Toc507619268" w:history="1">
        <w:r w:rsidR="001B5540" w:rsidRPr="00C3618E">
          <w:rPr>
            <w:rStyle w:val="Hyperlink"/>
            <w:noProof/>
          </w:rPr>
          <w:t>B.</w:t>
        </w:r>
        <w:r w:rsidR="001B5540">
          <w:rPr>
            <w:rFonts w:asciiTheme="minorHAnsi" w:eastAsiaTheme="minorEastAsia" w:hAnsiTheme="minorHAnsi"/>
            <w:noProof/>
            <w:sz w:val="22"/>
            <w:szCs w:val="22"/>
            <w:lang w:eastAsia="zh-CN"/>
          </w:rPr>
          <w:tab/>
        </w:r>
        <w:r w:rsidR="001B5540" w:rsidRPr="00C3618E">
          <w:rPr>
            <w:rStyle w:val="Hyperlink"/>
            <w:noProof/>
          </w:rPr>
          <w:t>Section 12.013 of the Texas Water Code Also Authorizes the Commission to Review the District’s Rates</w:t>
        </w:r>
        <w:r w:rsidR="001B5540">
          <w:rPr>
            <w:noProof/>
          </w:rPr>
          <w:tab/>
        </w:r>
        <w:r w:rsidR="001B5540">
          <w:rPr>
            <w:noProof/>
          </w:rPr>
          <w:fldChar w:fldCharType="begin"/>
        </w:r>
        <w:r w:rsidR="001B5540">
          <w:rPr>
            <w:noProof/>
          </w:rPr>
          <w:instrText xml:space="preserve"> PAGEREF _Toc507619268 \h </w:instrText>
        </w:r>
        <w:r w:rsidR="001B5540">
          <w:rPr>
            <w:noProof/>
          </w:rPr>
        </w:r>
        <w:r w:rsidR="001B5540">
          <w:rPr>
            <w:noProof/>
          </w:rPr>
          <w:fldChar w:fldCharType="separate"/>
        </w:r>
        <w:r>
          <w:rPr>
            <w:noProof/>
          </w:rPr>
          <w:t>10</w:t>
        </w:r>
        <w:r w:rsidR="001B5540">
          <w:rPr>
            <w:noProof/>
          </w:rPr>
          <w:fldChar w:fldCharType="end"/>
        </w:r>
      </w:hyperlink>
    </w:p>
    <w:p w14:paraId="61016233" w14:textId="1A807E69" w:rsidR="001B5540" w:rsidRDefault="00545FC2">
      <w:pPr>
        <w:pStyle w:val="TOC2"/>
        <w:tabs>
          <w:tab w:val="left" w:pos="1125"/>
        </w:tabs>
        <w:rPr>
          <w:rFonts w:asciiTheme="minorHAnsi" w:eastAsiaTheme="minorEastAsia" w:hAnsiTheme="minorHAnsi"/>
          <w:noProof/>
          <w:sz w:val="22"/>
          <w:szCs w:val="22"/>
          <w:lang w:eastAsia="zh-CN"/>
        </w:rPr>
      </w:pPr>
      <w:hyperlink w:anchor="_Toc507619269" w:history="1">
        <w:r w:rsidR="001B5540" w:rsidRPr="00C3618E">
          <w:rPr>
            <w:rStyle w:val="Hyperlink"/>
            <w:noProof/>
          </w:rPr>
          <w:t>C.</w:t>
        </w:r>
        <w:r w:rsidR="001B5540">
          <w:rPr>
            <w:rFonts w:asciiTheme="minorHAnsi" w:eastAsiaTheme="minorEastAsia" w:hAnsiTheme="minorHAnsi"/>
            <w:noProof/>
            <w:sz w:val="22"/>
            <w:szCs w:val="22"/>
            <w:lang w:eastAsia="zh-CN"/>
          </w:rPr>
          <w:tab/>
        </w:r>
        <w:r w:rsidR="001B5540" w:rsidRPr="00C3618E">
          <w:rPr>
            <w:rStyle w:val="Hyperlink"/>
            <w:noProof/>
          </w:rPr>
          <w:t>Even the Contract Confirms the Commission’s Jurisdiction</w:t>
        </w:r>
        <w:r w:rsidR="001B5540">
          <w:rPr>
            <w:noProof/>
          </w:rPr>
          <w:tab/>
        </w:r>
        <w:r w:rsidR="001B5540">
          <w:rPr>
            <w:noProof/>
          </w:rPr>
          <w:fldChar w:fldCharType="begin"/>
        </w:r>
        <w:r w:rsidR="001B5540">
          <w:rPr>
            <w:noProof/>
          </w:rPr>
          <w:instrText xml:space="preserve"> PAGEREF _Toc507619269 \h </w:instrText>
        </w:r>
        <w:r w:rsidR="001B5540">
          <w:rPr>
            <w:noProof/>
          </w:rPr>
        </w:r>
        <w:r w:rsidR="001B5540">
          <w:rPr>
            <w:noProof/>
          </w:rPr>
          <w:fldChar w:fldCharType="separate"/>
        </w:r>
        <w:r>
          <w:rPr>
            <w:noProof/>
          </w:rPr>
          <w:t>11</w:t>
        </w:r>
        <w:r w:rsidR="001B5540">
          <w:rPr>
            <w:noProof/>
          </w:rPr>
          <w:fldChar w:fldCharType="end"/>
        </w:r>
      </w:hyperlink>
    </w:p>
    <w:p w14:paraId="0D212688" w14:textId="663FDFC8" w:rsidR="001B5540" w:rsidRDefault="00545FC2">
      <w:pPr>
        <w:pStyle w:val="TOC2"/>
        <w:tabs>
          <w:tab w:val="left" w:pos="1125"/>
        </w:tabs>
        <w:rPr>
          <w:rFonts w:asciiTheme="minorHAnsi" w:eastAsiaTheme="minorEastAsia" w:hAnsiTheme="minorHAnsi"/>
          <w:noProof/>
          <w:sz w:val="22"/>
          <w:szCs w:val="22"/>
          <w:lang w:eastAsia="zh-CN"/>
        </w:rPr>
      </w:pPr>
      <w:hyperlink w:anchor="_Toc507619270" w:history="1">
        <w:r w:rsidR="001B5540" w:rsidRPr="00C3618E">
          <w:rPr>
            <w:rStyle w:val="Hyperlink"/>
            <w:noProof/>
          </w:rPr>
          <w:t>D.</w:t>
        </w:r>
        <w:r w:rsidR="001B5540">
          <w:rPr>
            <w:rFonts w:asciiTheme="minorHAnsi" w:eastAsiaTheme="minorEastAsia" w:hAnsiTheme="minorHAnsi"/>
            <w:noProof/>
            <w:sz w:val="22"/>
            <w:szCs w:val="22"/>
            <w:lang w:eastAsia="zh-CN"/>
          </w:rPr>
          <w:tab/>
        </w:r>
        <w:r w:rsidR="001B5540" w:rsidRPr="00C3618E">
          <w:rPr>
            <w:rStyle w:val="Hyperlink"/>
            <w:noProof/>
          </w:rPr>
          <w:t>The Commission’s Rate Review Will Not Impair the District’s Bonds</w:t>
        </w:r>
        <w:r w:rsidR="001B5540">
          <w:rPr>
            <w:noProof/>
          </w:rPr>
          <w:tab/>
        </w:r>
        <w:r w:rsidR="001B5540">
          <w:rPr>
            <w:noProof/>
          </w:rPr>
          <w:fldChar w:fldCharType="begin"/>
        </w:r>
        <w:r w:rsidR="001B5540">
          <w:rPr>
            <w:noProof/>
          </w:rPr>
          <w:instrText xml:space="preserve"> PAGEREF _Toc507619270 \h </w:instrText>
        </w:r>
        <w:r w:rsidR="001B5540">
          <w:rPr>
            <w:noProof/>
          </w:rPr>
        </w:r>
        <w:r w:rsidR="001B5540">
          <w:rPr>
            <w:noProof/>
          </w:rPr>
          <w:fldChar w:fldCharType="separate"/>
        </w:r>
        <w:r>
          <w:rPr>
            <w:noProof/>
          </w:rPr>
          <w:t>12</w:t>
        </w:r>
        <w:r w:rsidR="001B5540">
          <w:rPr>
            <w:noProof/>
          </w:rPr>
          <w:fldChar w:fldCharType="end"/>
        </w:r>
      </w:hyperlink>
    </w:p>
    <w:p w14:paraId="4BCFE761" w14:textId="6A2939DC" w:rsidR="001B5540" w:rsidRDefault="00545FC2">
      <w:pPr>
        <w:pStyle w:val="TOC1"/>
        <w:tabs>
          <w:tab w:val="right" w:leader="dot" w:pos="9350"/>
        </w:tabs>
        <w:rPr>
          <w:rFonts w:asciiTheme="minorHAnsi" w:eastAsiaTheme="minorEastAsia" w:hAnsiTheme="minorHAnsi"/>
          <w:noProof/>
          <w:sz w:val="22"/>
          <w:szCs w:val="22"/>
          <w:lang w:eastAsia="zh-CN"/>
        </w:rPr>
      </w:pPr>
      <w:hyperlink w:anchor="_Toc507619271" w:history="1">
        <w:r w:rsidR="001B5540" w:rsidRPr="00C3618E">
          <w:rPr>
            <w:rStyle w:val="Hyperlink"/>
            <w:rFonts w:asciiTheme="majorBidi" w:hAnsiTheme="majorBidi" w:cstheme="majorBidi"/>
            <w:noProof/>
          </w:rPr>
          <w:t>IV. Conclusion</w:t>
        </w:r>
        <w:r w:rsidR="001B5540">
          <w:rPr>
            <w:noProof/>
          </w:rPr>
          <w:tab/>
        </w:r>
        <w:r w:rsidR="001B5540">
          <w:rPr>
            <w:noProof/>
          </w:rPr>
          <w:fldChar w:fldCharType="begin"/>
        </w:r>
        <w:r w:rsidR="001B5540">
          <w:rPr>
            <w:noProof/>
          </w:rPr>
          <w:instrText xml:space="preserve"> PAGEREF _Toc507619271 \h </w:instrText>
        </w:r>
        <w:r w:rsidR="001B5540">
          <w:rPr>
            <w:noProof/>
          </w:rPr>
        </w:r>
        <w:r w:rsidR="001B5540">
          <w:rPr>
            <w:noProof/>
          </w:rPr>
          <w:fldChar w:fldCharType="separate"/>
        </w:r>
        <w:r>
          <w:rPr>
            <w:noProof/>
          </w:rPr>
          <w:t>13</w:t>
        </w:r>
        <w:r w:rsidR="001B5540">
          <w:rPr>
            <w:noProof/>
          </w:rPr>
          <w:fldChar w:fldCharType="end"/>
        </w:r>
      </w:hyperlink>
    </w:p>
    <w:p w14:paraId="536FD3A9" w14:textId="57956854" w:rsidR="00220EE1" w:rsidRPr="008657B8" w:rsidRDefault="003D503D" w:rsidP="008657B8">
      <w:r>
        <w:fldChar w:fldCharType="end"/>
      </w:r>
      <w:r w:rsidR="005B5711" w:rsidRPr="005B5711">
        <w:rPr>
          <w:b/>
          <w:bCs/>
          <w:u w:val="single"/>
        </w:rPr>
        <w:t>ATTACHMENTS</w:t>
      </w:r>
    </w:p>
    <w:p w14:paraId="1469248D" w14:textId="752814D6" w:rsidR="005B5711" w:rsidRDefault="005B5711" w:rsidP="008657B8">
      <w:pPr>
        <w:spacing w:after="0"/>
        <w:ind w:left="720" w:hanging="720"/>
      </w:pPr>
      <w:r>
        <w:t>A</w:t>
      </w:r>
      <w:r>
        <w:tab/>
        <w:t>Order Granting Plea to the Jurisdiction (North Texas Municipal Water District v. Public Utility Commission of Texas (May 19, 2017)</w:t>
      </w:r>
    </w:p>
    <w:p w14:paraId="3429C3F1" w14:textId="77777777" w:rsidR="008657B8" w:rsidRDefault="005B5711" w:rsidP="008657B8">
      <w:pPr>
        <w:spacing w:after="0"/>
        <w:ind w:left="720" w:hanging="720"/>
      </w:pPr>
      <w:r>
        <w:t>B</w:t>
      </w:r>
      <w:r>
        <w:tab/>
      </w:r>
      <w:r w:rsidR="008657B8" w:rsidRPr="00B9191B">
        <w:rPr>
          <w:rFonts w:asciiTheme="majorBidi" w:hAnsiTheme="majorBidi" w:cstheme="majorBidi"/>
        </w:rPr>
        <w:t>Event Notice Pursuant to S.E.C. Rule 15c2-12 relating to North Texas Municipal Water District (Mar. 10, 2017)</w:t>
      </w:r>
    </w:p>
    <w:p w14:paraId="6FAAD0D6" w14:textId="04D42A86" w:rsidR="008657B8" w:rsidRDefault="008657B8" w:rsidP="008657B8">
      <w:pPr>
        <w:ind w:left="720" w:hanging="720"/>
      </w:pPr>
      <w:r>
        <w:t>C</w:t>
      </w:r>
      <w:r>
        <w:tab/>
        <w:t>Excerpt from Official Statement Related to North Texas Municipal Water District System Revenue Refunding and Improvement Bonds, Series 2016</w:t>
      </w:r>
    </w:p>
    <w:p w14:paraId="5A700091" w14:textId="77777777" w:rsidR="001B5540" w:rsidRPr="005B5711" w:rsidRDefault="001B5540" w:rsidP="008657B8">
      <w:pPr>
        <w:ind w:left="720" w:hanging="720"/>
      </w:pPr>
    </w:p>
    <w:p w14:paraId="2BFF9237" w14:textId="77777777" w:rsidR="00D57D40" w:rsidRPr="00B9191B" w:rsidRDefault="00D57D40" w:rsidP="00D57D40">
      <w:pPr>
        <w:spacing w:after="0"/>
        <w:jc w:val="center"/>
        <w:rPr>
          <w:rFonts w:asciiTheme="majorBidi" w:hAnsiTheme="majorBidi" w:cstheme="majorBidi"/>
          <w:b/>
        </w:rPr>
      </w:pPr>
      <w:r w:rsidRPr="00B9191B">
        <w:rPr>
          <w:rFonts w:asciiTheme="majorBidi" w:hAnsiTheme="majorBidi" w:cstheme="majorBidi"/>
          <w:b/>
        </w:rPr>
        <w:lastRenderedPageBreak/>
        <w:t>SOAH DOCKET NO. 473-18-1905.WS</w:t>
      </w:r>
    </w:p>
    <w:p w14:paraId="06991B88" w14:textId="77777777" w:rsidR="00D57D40" w:rsidRPr="00B9191B" w:rsidRDefault="00D57D40" w:rsidP="00B9191B">
      <w:pPr>
        <w:spacing w:after="0"/>
        <w:jc w:val="center"/>
        <w:rPr>
          <w:rFonts w:asciiTheme="majorBidi" w:hAnsiTheme="majorBidi" w:cstheme="majorBidi"/>
          <w:b/>
        </w:rPr>
      </w:pPr>
      <w:r w:rsidRPr="00B9191B">
        <w:rPr>
          <w:rFonts w:asciiTheme="majorBidi" w:hAnsiTheme="majorBidi" w:cstheme="majorBidi"/>
          <w:b/>
        </w:rPr>
        <w:t>PUC DOCKET NO. 47863</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1710"/>
        <w:gridCol w:w="3870"/>
      </w:tblGrid>
      <w:tr w:rsidR="00D57D40" w:rsidRPr="00B9191B" w14:paraId="438CE8C7" w14:textId="77777777" w:rsidTr="00954258">
        <w:tc>
          <w:tcPr>
            <w:tcW w:w="4068" w:type="dxa"/>
          </w:tcPr>
          <w:p w14:paraId="3AC1D1D3" w14:textId="77777777" w:rsidR="00D57D40" w:rsidRPr="00B9191B" w:rsidRDefault="00D57D40" w:rsidP="00954258">
            <w:pPr>
              <w:jc w:val="left"/>
              <w:rPr>
                <w:rFonts w:asciiTheme="majorBidi" w:hAnsiTheme="majorBidi" w:cstheme="majorBidi"/>
                <w:b/>
              </w:rPr>
            </w:pPr>
          </w:p>
          <w:p w14:paraId="389B65F1" w14:textId="77777777" w:rsidR="00D57D40" w:rsidRPr="00B9191B" w:rsidRDefault="00D57D40" w:rsidP="00954258">
            <w:pPr>
              <w:jc w:val="left"/>
              <w:rPr>
                <w:rFonts w:asciiTheme="majorBidi" w:hAnsiTheme="majorBidi" w:cstheme="majorBidi"/>
                <w:b/>
              </w:rPr>
            </w:pPr>
            <w:r w:rsidRPr="00B9191B">
              <w:rPr>
                <w:rFonts w:asciiTheme="majorBidi" w:hAnsiTheme="majorBidi" w:cstheme="majorBidi"/>
                <w:b/>
              </w:rPr>
              <w:t>PETITION OF THE CITIES OF</w:t>
            </w:r>
          </w:p>
        </w:tc>
        <w:tc>
          <w:tcPr>
            <w:tcW w:w="1710" w:type="dxa"/>
          </w:tcPr>
          <w:p w14:paraId="3CA2A3AB" w14:textId="77777777" w:rsidR="00D57D40" w:rsidRPr="00B9191B" w:rsidRDefault="00D57D40" w:rsidP="00954258">
            <w:pPr>
              <w:jc w:val="center"/>
              <w:rPr>
                <w:rFonts w:asciiTheme="majorBidi" w:hAnsiTheme="majorBidi" w:cstheme="majorBidi"/>
                <w:b/>
              </w:rPr>
            </w:pPr>
          </w:p>
          <w:p w14:paraId="466DBE26" w14:textId="77777777" w:rsidR="00D57D40" w:rsidRPr="00B9191B" w:rsidRDefault="00D57D40" w:rsidP="00954258">
            <w:pPr>
              <w:jc w:val="center"/>
              <w:rPr>
                <w:rFonts w:asciiTheme="majorBidi" w:hAnsiTheme="majorBidi" w:cstheme="majorBidi"/>
                <w:b/>
              </w:rPr>
            </w:pPr>
            <w:r w:rsidRPr="00B9191B">
              <w:rPr>
                <w:rFonts w:asciiTheme="majorBidi" w:hAnsiTheme="majorBidi" w:cstheme="majorBidi"/>
                <w:b/>
              </w:rPr>
              <w:t>§</w:t>
            </w:r>
          </w:p>
        </w:tc>
        <w:tc>
          <w:tcPr>
            <w:tcW w:w="3870" w:type="dxa"/>
          </w:tcPr>
          <w:p w14:paraId="7B248846" w14:textId="77777777" w:rsidR="00D57D40" w:rsidRPr="00B9191B" w:rsidRDefault="00D57D40" w:rsidP="00954258">
            <w:pPr>
              <w:jc w:val="center"/>
              <w:rPr>
                <w:rFonts w:asciiTheme="majorBidi" w:hAnsiTheme="majorBidi" w:cstheme="majorBidi"/>
                <w:b/>
              </w:rPr>
            </w:pPr>
          </w:p>
        </w:tc>
      </w:tr>
      <w:tr w:rsidR="00D57D40" w:rsidRPr="00B9191B" w14:paraId="7CF6354A" w14:textId="77777777" w:rsidTr="00954258">
        <w:tc>
          <w:tcPr>
            <w:tcW w:w="4068" w:type="dxa"/>
          </w:tcPr>
          <w:p w14:paraId="0FCB042B" w14:textId="77777777" w:rsidR="00D57D40" w:rsidRPr="00B9191B" w:rsidRDefault="00D57D40" w:rsidP="00954258">
            <w:pPr>
              <w:jc w:val="left"/>
              <w:rPr>
                <w:rFonts w:asciiTheme="majorBidi" w:hAnsiTheme="majorBidi" w:cstheme="majorBidi"/>
                <w:b/>
              </w:rPr>
            </w:pPr>
            <w:r w:rsidRPr="00B9191B">
              <w:rPr>
                <w:rFonts w:asciiTheme="majorBidi" w:hAnsiTheme="majorBidi" w:cstheme="majorBidi"/>
                <w:b/>
              </w:rPr>
              <w:t xml:space="preserve">GARLAND, MESQUITE, PLANO,  AND RICHARDSON APPEALING                </w:t>
            </w:r>
          </w:p>
        </w:tc>
        <w:tc>
          <w:tcPr>
            <w:tcW w:w="1710" w:type="dxa"/>
          </w:tcPr>
          <w:p w14:paraId="7A6BB258" w14:textId="77777777" w:rsidR="00D57D40" w:rsidRPr="00B9191B" w:rsidRDefault="00D57D40" w:rsidP="00954258">
            <w:pPr>
              <w:jc w:val="center"/>
              <w:rPr>
                <w:rFonts w:asciiTheme="majorBidi" w:hAnsiTheme="majorBidi" w:cstheme="majorBidi"/>
                <w:b/>
              </w:rPr>
            </w:pPr>
            <w:r w:rsidRPr="00B9191B">
              <w:rPr>
                <w:rFonts w:asciiTheme="majorBidi" w:hAnsiTheme="majorBidi" w:cstheme="majorBidi"/>
                <w:b/>
              </w:rPr>
              <w:t>§</w:t>
            </w:r>
          </w:p>
          <w:p w14:paraId="10A5DA2D" w14:textId="77777777" w:rsidR="00D57D40" w:rsidRPr="00B9191B" w:rsidRDefault="00D57D40" w:rsidP="00954258">
            <w:pPr>
              <w:jc w:val="center"/>
              <w:rPr>
                <w:rFonts w:asciiTheme="majorBidi" w:hAnsiTheme="majorBidi" w:cstheme="majorBidi"/>
                <w:b/>
              </w:rPr>
            </w:pPr>
            <w:r w:rsidRPr="00B9191B">
              <w:rPr>
                <w:rFonts w:asciiTheme="majorBidi" w:hAnsiTheme="majorBidi" w:cstheme="majorBidi"/>
                <w:b/>
              </w:rPr>
              <w:t>§</w:t>
            </w:r>
          </w:p>
        </w:tc>
        <w:tc>
          <w:tcPr>
            <w:tcW w:w="3870" w:type="dxa"/>
          </w:tcPr>
          <w:p w14:paraId="45AF9BBB" w14:textId="77777777" w:rsidR="00D57D40" w:rsidRPr="00B9191B" w:rsidRDefault="00D57D40" w:rsidP="00954258">
            <w:pPr>
              <w:jc w:val="left"/>
              <w:rPr>
                <w:rFonts w:asciiTheme="majorBidi" w:hAnsiTheme="majorBidi" w:cstheme="majorBidi"/>
                <w:b/>
              </w:rPr>
            </w:pPr>
            <w:r w:rsidRPr="00B9191B">
              <w:rPr>
                <w:rFonts w:asciiTheme="majorBidi" w:hAnsiTheme="majorBidi" w:cstheme="majorBidi"/>
                <w:b/>
              </w:rPr>
              <w:t xml:space="preserve">        PUBLIC UTILITY</w:t>
            </w:r>
          </w:p>
        </w:tc>
      </w:tr>
      <w:tr w:rsidR="00D57D40" w:rsidRPr="00B9191B" w14:paraId="05DCE5B8" w14:textId="77777777" w:rsidTr="00954258">
        <w:tc>
          <w:tcPr>
            <w:tcW w:w="4068" w:type="dxa"/>
          </w:tcPr>
          <w:p w14:paraId="0C67485B" w14:textId="77777777" w:rsidR="00D57D40" w:rsidRPr="00B9191B" w:rsidRDefault="00D57D40" w:rsidP="00954258">
            <w:pPr>
              <w:jc w:val="left"/>
              <w:rPr>
                <w:rFonts w:asciiTheme="majorBidi" w:hAnsiTheme="majorBidi" w:cstheme="majorBidi"/>
                <w:b/>
              </w:rPr>
            </w:pPr>
            <w:r w:rsidRPr="00B9191B">
              <w:rPr>
                <w:rFonts w:asciiTheme="majorBidi" w:hAnsiTheme="majorBidi" w:cstheme="majorBidi"/>
                <w:b/>
              </w:rPr>
              <w:t>THE DECISION BY NORTH TEXAS MUNICIPAL WATER DISTRICT AFFECTING 2018 WHOLESALE WATER RATES</w:t>
            </w:r>
          </w:p>
        </w:tc>
        <w:tc>
          <w:tcPr>
            <w:tcW w:w="1710" w:type="dxa"/>
          </w:tcPr>
          <w:p w14:paraId="714F70E5" w14:textId="77777777" w:rsidR="00D57D40" w:rsidRPr="00B9191B" w:rsidRDefault="00D57D40" w:rsidP="00954258">
            <w:pPr>
              <w:jc w:val="center"/>
              <w:rPr>
                <w:rFonts w:asciiTheme="majorBidi" w:hAnsiTheme="majorBidi" w:cstheme="majorBidi"/>
                <w:b/>
              </w:rPr>
            </w:pPr>
            <w:r w:rsidRPr="00B9191B">
              <w:rPr>
                <w:rFonts w:asciiTheme="majorBidi" w:hAnsiTheme="majorBidi" w:cstheme="majorBidi"/>
                <w:b/>
              </w:rPr>
              <w:t>§</w:t>
            </w:r>
          </w:p>
          <w:p w14:paraId="0FAAF6FB" w14:textId="77777777" w:rsidR="00D57D40" w:rsidRPr="00B9191B" w:rsidRDefault="00D57D40" w:rsidP="00954258">
            <w:pPr>
              <w:jc w:val="center"/>
              <w:rPr>
                <w:rFonts w:asciiTheme="majorBidi" w:hAnsiTheme="majorBidi" w:cstheme="majorBidi"/>
                <w:b/>
              </w:rPr>
            </w:pPr>
            <w:r w:rsidRPr="00B9191B">
              <w:rPr>
                <w:rFonts w:asciiTheme="majorBidi" w:hAnsiTheme="majorBidi" w:cstheme="majorBidi"/>
                <w:b/>
              </w:rPr>
              <w:t>§</w:t>
            </w:r>
          </w:p>
          <w:p w14:paraId="2CD1C357" w14:textId="77777777" w:rsidR="00D57D40" w:rsidRPr="00B9191B" w:rsidRDefault="00D57D40" w:rsidP="00954258">
            <w:pPr>
              <w:jc w:val="center"/>
              <w:rPr>
                <w:rFonts w:asciiTheme="majorBidi" w:hAnsiTheme="majorBidi" w:cstheme="majorBidi"/>
                <w:b/>
              </w:rPr>
            </w:pPr>
            <w:r w:rsidRPr="00B9191B">
              <w:rPr>
                <w:rFonts w:asciiTheme="majorBidi" w:hAnsiTheme="majorBidi" w:cstheme="majorBidi"/>
                <w:b/>
              </w:rPr>
              <w:t>§</w:t>
            </w:r>
          </w:p>
          <w:p w14:paraId="063FB760" w14:textId="77777777" w:rsidR="00D57D40" w:rsidRPr="00B9191B" w:rsidRDefault="00D57D40" w:rsidP="00954258">
            <w:pPr>
              <w:jc w:val="center"/>
              <w:rPr>
                <w:rFonts w:asciiTheme="majorBidi" w:hAnsiTheme="majorBidi" w:cstheme="majorBidi"/>
                <w:b/>
              </w:rPr>
            </w:pPr>
            <w:r w:rsidRPr="00B9191B">
              <w:rPr>
                <w:rFonts w:asciiTheme="majorBidi" w:hAnsiTheme="majorBidi" w:cstheme="majorBidi"/>
                <w:b/>
              </w:rPr>
              <w:t>§</w:t>
            </w:r>
          </w:p>
          <w:p w14:paraId="556A9E63" w14:textId="77777777" w:rsidR="00D57D40" w:rsidRPr="00B9191B" w:rsidRDefault="00D57D40" w:rsidP="00954258">
            <w:pPr>
              <w:jc w:val="center"/>
              <w:rPr>
                <w:rFonts w:asciiTheme="majorBidi" w:hAnsiTheme="majorBidi" w:cstheme="majorBidi"/>
                <w:b/>
              </w:rPr>
            </w:pPr>
          </w:p>
        </w:tc>
        <w:tc>
          <w:tcPr>
            <w:tcW w:w="3870" w:type="dxa"/>
          </w:tcPr>
          <w:p w14:paraId="764B24DD" w14:textId="77777777" w:rsidR="00D57D40" w:rsidRPr="00B9191B" w:rsidRDefault="00D57D40" w:rsidP="00954258">
            <w:pPr>
              <w:jc w:val="left"/>
              <w:rPr>
                <w:rFonts w:asciiTheme="majorBidi" w:hAnsiTheme="majorBidi" w:cstheme="majorBidi"/>
                <w:b/>
              </w:rPr>
            </w:pPr>
            <w:r w:rsidRPr="00B9191B">
              <w:rPr>
                <w:rFonts w:asciiTheme="majorBidi" w:hAnsiTheme="majorBidi" w:cstheme="majorBidi"/>
                <w:b/>
              </w:rPr>
              <w:t xml:space="preserve">      </w:t>
            </w:r>
          </w:p>
          <w:p w14:paraId="3BD21784" w14:textId="77777777" w:rsidR="00D57D40" w:rsidRPr="00B9191B" w:rsidRDefault="00D57D40" w:rsidP="00954258">
            <w:pPr>
              <w:jc w:val="left"/>
              <w:rPr>
                <w:rFonts w:asciiTheme="majorBidi" w:hAnsiTheme="majorBidi" w:cstheme="majorBidi"/>
                <w:b/>
              </w:rPr>
            </w:pPr>
            <w:r w:rsidRPr="00B9191B">
              <w:rPr>
                <w:rFonts w:asciiTheme="majorBidi" w:hAnsiTheme="majorBidi" w:cstheme="majorBidi"/>
                <w:b/>
              </w:rPr>
              <w:t>COMMISSION OF TEXAS</w:t>
            </w:r>
          </w:p>
        </w:tc>
      </w:tr>
    </w:tbl>
    <w:p w14:paraId="2127AFDB" w14:textId="1FEC6C48" w:rsidR="00933625" w:rsidRPr="00B9191B" w:rsidRDefault="00933625" w:rsidP="00B9191B">
      <w:pPr>
        <w:spacing w:after="0"/>
        <w:jc w:val="center"/>
        <w:rPr>
          <w:rFonts w:asciiTheme="majorBidi" w:hAnsiTheme="majorBidi" w:cstheme="majorBidi"/>
          <w:b/>
        </w:rPr>
      </w:pPr>
      <w:r w:rsidRPr="00B9191B">
        <w:rPr>
          <w:rFonts w:asciiTheme="majorBidi" w:hAnsiTheme="majorBidi" w:cstheme="majorBidi"/>
          <w:b/>
        </w:rPr>
        <w:t>THE PETITIONING CITIES’ RESPONSE</w:t>
      </w:r>
    </w:p>
    <w:p w14:paraId="6554C15F" w14:textId="6ACCC189" w:rsidR="00933625" w:rsidRPr="00B9191B" w:rsidRDefault="00933625" w:rsidP="00933625">
      <w:pPr>
        <w:spacing w:after="0" w:line="480" w:lineRule="auto"/>
        <w:jc w:val="center"/>
        <w:rPr>
          <w:rFonts w:asciiTheme="majorBidi" w:hAnsiTheme="majorBidi" w:cstheme="majorBidi"/>
          <w:b/>
          <w:u w:val="single"/>
        </w:rPr>
      </w:pPr>
      <w:r w:rsidRPr="00B9191B">
        <w:rPr>
          <w:rFonts w:asciiTheme="majorBidi" w:hAnsiTheme="majorBidi" w:cstheme="majorBidi"/>
          <w:b/>
          <w:u w:val="single"/>
        </w:rPr>
        <w:t>TO THE DISTRICT’S MOTION TO DISMISS</w:t>
      </w:r>
    </w:p>
    <w:p w14:paraId="77F72F69" w14:textId="0348DE68" w:rsidR="000574D6" w:rsidRPr="00B9191B" w:rsidRDefault="00F51F91" w:rsidP="00CC3606">
      <w:pPr>
        <w:spacing w:after="0" w:line="360" w:lineRule="auto"/>
        <w:ind w:firstLine="720"/>
        <w:rPr>
          <w:rFonts w:asciiTheme="majorBidi" w:hAnsiTheme="majorBidi" w:cstheme="majorBidi"/>
          <w:b/>
        </w:rPr>
      </w:pPr>
      <w:r w:rsidRPr="00B9191B">
        <w:rPr>
          <w:rFonts w:asciiTheme="majorBidi" w:hAnsiTheme="majorBidi" w:cstheme="majorBidi"/>
        </w:rPr>
        <w:t xml:space="preserve">The Cities of Garland, Mesquite, Plano and Richardson </w:t>
      </w:r>
      <w:r w:rsidR="00933625" w:rsidRPr="00B9191B">
        <w:rPr>
          <w:rFonts w:asciiTheme="majorBidi" w:hAnsiTheme="majorBidi" w:cstheme="majorBidi"/>
        </w:rPr>
        <w:t>(“</w:t>
      </w:r>
      <w:r w:rsidR="00933625" w:rsidRPr="00065622">
        <w:rPr>
          <w:rFonts w:asciiTheme="majorBidi" w:hAnsiTheme="majorBidi" w:cstheme="majorBidi"/>
        </w:rPr>
        <w:t>Petitioning Cities</w:t>
      </w:r>
      <w:r w:rsidR="0020276F" w:rsidRPr="00B9191B">
        <w:rPr>
          <w:rFonts w:asciiTheme="majorBidi" w:hAnsiTheme="majorBidi" w:cstheme="majorBidi"/>
        </w:rPr>
        <w:t>”) hereby respond</w:t>
      </w:r>
      <w:r w:rsidRPr="00B9191B">
        <w:rPr>
          <w:rFonts w:asciiTheme="majorBidi" w:hAnsiTheme="majorBidi" w:cstheme="majorBidi"/>
        </w:rPr>
        <w:t xml:space="preserve"> to the North Texas Municipal Water District’s </w:t>
      </w:r>
      <w:r w:rsidRPr="00266AA8">
        <w:rPr>
          <w:rFonts w:asciiTheme="majorBidi" w:hAnsiTheme="majorBidi" w:cstheme="majorBidi"/>
        </w:rPr>
        <w:t>(“</w:t>
      </w:r>
      <w:r w:rsidRPr="001522AE">
        <w:rPr>
          <w:rFonts w:asciiTheme="majorBidi" w:hAnsiTheme="majorBidi" w:cstheme="majorBidi"/>
        </w:rPr>
        <w:t>Distric</w:t>
      </w:r>
      <w:r w:rsidRPr="001522AE">
        <w:rPr>
          <w:rFonts w:asciiTheme="majorBidi" w:hAnsiTheme="majorBidi" w:cstheme="majorBidi"/>
          <w:bCs/>
        </w:rPr>
        <w:t>t</w:t>
      </w:r>
      <w:r w:rsidRPr="00266AA8">
        <w:rPr>
          <w:rFonts w:asciiTheme="majorBidi" w:hAnsiTheme="majorBidi" w:cstheme="majorBidi"/>
        </w:rPr>
        <w:t>”)</w:t>
      </w:r>
      <w:r w:rsidRPr="00B9191B">
        <w:rPr>
          <w:rFonts w:asciiTheme="majorBidi" w:hAnsiTheme="majorBidi" w:cstheme="majorBidi"/>
        </w:rPr>
        <w:t xml:space="preserve"> Motion to Dismiss</w:t>
      </w:r>
      <w:r w:rsidR="000574D6" w:rsidRPr="00B9191B">
        <w:rPr>
          <w:rFonts w:asciiTheme="majorBidi" w:hAnsiTheme="majorBidi" w:cstheme="majorBidi"/>
        </w:rPr>
        <w:t xml:space="preserve"> </w:t>
      </w:r>
      <w:r w:rsidR="000574D6" w:rsidRPr="00266AA8">
        <w:rPr>
          <w:rFonts w:asciiTheme="majorBidi" w:hAnsiTheme="majorBidi" w:cstheme="majorBidi"/>
        </w:rPr>
        <w:t>(“</w:t>
      </w:r>
      <w:r w:rsidR="00933625" w:rsidRPr="00065622">
        <w:rPr>
          <w:rFonts w:asciiTheme="majorBidi" w:hAnsiTheme="majorBidi" w:cstheme="majorBidi"/>
        </w:rPr>
        <w:t>District’s Motion</w:t>
      </w:r>
      <w:r w:rsidR="000574D6" w:rsidRPr="00266AA8">
        <w:rPr>
          <w:rFonts w:asciiTheme="majorBidi" w:hAnsiTheme="majorBidi" w:cstheme="majorBidi"/>
        </w:rPr>
        <w:t>”)</w:t>
      </w:r>
      <w:r w:rsidRPr="00B9191B">
        <w:rPr>
          <w:rFonts w:asciiTheme="majorBidi" w:hAnsiTheme="majorBidi" w:cstheme="majorBidi"/>
        </w:rPr>
        <w:t>.</w:t>
      </w:r>
      <w:r w:rsidR="003C16CD">
        <w:rPr>
          <w:rFonts w:asciiTheme="majorBidi" w:hAnsiTheme="majorBidi" w:cstheme="majorBidi"/>
        </w:rPr>
        <w:t xml:space="preserve">  This response is timely filed.</w:t>
      </w:r>
      <w:r w:rsidR="00754414" w:rsidRPr="00B9191B">
        <w:rPr>
          <w:rStyle w:val="FootnoteReference"/>
          <w:rFonts w:asciiTheme="majorBidi" w:hAnsiTheme="majorBidi" w:cstheme="majorBidi"/>
        </w:rPr>
        <w:footnoteReference w:id="1"/>
      </w:r>
      <w:r w:rsidR="003C16CD">
        <w:rPr>
          <w:rFonts w:asciiTheme="majorBidi" w:hAnsiTheme="majorBidi" w:cstheme="majorBidi"/>
        </w:rPr>
        <w:t xml:space="preserve"> </w:t>
      </w:r>
      <w:r w:rsidRPr="00B9191B">
        <w:rPr>
          <w:rFonts w:asciiTheme="majorBidi" w:hAnsiTheme="majorBidi" w:cstheme="majorBidi"/>
        </w:rPr>
        <w:t xml:space="preserve"> </w:t>
      </w:r>
      <w:r w:rsidR="00DF40B4" w:rsidRPr="00B9191B">
        <w:rPr>
          <w:rFonts w:asciiTheme="majorBidi" w:hAnsiTheme="majorBidi" w:cstheme="majorBidi"/>
        </w:rPr>
        <w:t xml:space="preserve">The Public Utility Commission </w:t>
      </w:r>
      <w:r w:rsidR="00DF40B4" w:rsidRPr="00266AA8">
        <w:rPr>
          <w:rFonts w:asciiTheme="majorBidi" w:hAnsiTheme="majorBidi" w:cstheme="majorBidi"/>
        </w:rPr>
        <w:t>(“</w:t>
      </w:r>
      <w:r w:rsidR="00DF40B4" w:rsidRPr="00065622">
        <w:rPr>
          <w:rFonts w:asciiTheme="majorBidi" w:hAnsiTheme="majorBidi" w:cstheme="majorBidi"/>
        </w:rPr>
        <w:t>Commission</w:t>
      </w:r>
      <w:r w:rsidR="00DF40B4" w:rsidRPr="00266AA8">
        <w:rPr>
          <w:rFonts w:asciiTheme="majorBidi" w:hAnsiTheme="majorBidi" w:cstheme="majorBidi"/>
        </w:rPr>
        <w:t>”)</w:t>
      </w:r>
      <w:r w:rsidR="00DF40B4" w:rsidRPr="00B9191B">
        <w:rPr>
          <w:rFonts w:asciiTheme="majorBidi" w:hAnsiTheme="majorBidi" w:cstheme="majorBidi"/>
        </w:rPr>
        <w:t xml:space="preserve"> should deny the District’s Motion.</w:t>
      </w:r>
    </w:p>
    <w:p w14:paraId="1582AE84" w14:textId="367757AD" w:rsidR="00CC3606" w:rsidRPr="00677F41" w:rsidRDefault="00677F41" w:rsidP="00C07070">
      <w:pPr>
        <w:pStyle w:val="Heading1"/>
        <w:rPr>
          <w:rFonts w:asciiTheme="majorBidi" w:hAnsiTheme="majorBidi" w:cstheme="majorBidi"/>
        </w:rPr>
      </w:pPr>
      <w:r>
        <w:br/>
      </w:r>
      <w:bookmarkStart w:id="2" w:name="_Toc507084055"/>
      <w:bookmarkStart w:id="3" w:name="_Toc507084382"/>
      <w:bookmarkStart w:id="4" w:name="_Toc507619260"/>
      <w:r w:rsidR="00CC3606" w:rsidRPr="00677F41">
        <w:rPr>
          <w:rFonts w:asciiTheme="majorBidi" w:hAnsiTheme="majorBidi" w:cstheme="majorBidi"/>
        </w:rPr>
        <w:t>Executive Summary</w:t>
      </w:r>
      <w:bookmarkEnd w:id="2"/>
      <w:bookmarkEnd w:id="3"/>
      <w:bookmarkEnd w:id="4"/>
    </w:p>
    <w:p w14:paraId="07BE9EAD" w14:textId="73F953D3" w:rsidR="009B04A9" w:rsidRPr="00B9191B" w:rsidRDefault="009B04A9" w:rsidP="00CC3606">
      <w:pPr>
        <w:spacing w:after="0" w:line="360" w:lineRule="auto"/>
        <w:ind w:firstLine="720"/>
        <w:rPr>
          <w:rFonts w:asciiTheme="majorBidi" w:hAnsiTheme="majorBidi" w:cstheme="majorBidi"/>
        </w:rPr>
      </w:pPr>
      <w:r w:rsidRPr="00B9191B">
        <w:rPr>
          <w:rFonts w:asciiTheme="majorBidi" w:hAnsiTheme="majorBidi" w:cstheme="majorBidi"/>
        </w:rPr>
        <w:t xml:space="preserve">The Petitioning Cities </w:t>
      </w:r>
      <w:r w:rsidR="00FF4A87" w:rsidRPr="00B9191B">
        <w:rPr>
          <w:rFonts w:asciiTheme="majorBidi" w:hAnsiTheme="majorBidi" w:cstheme="majorBidi"/>
        </w:rPr>
        <w:t>buy</w:t>
      </w:r>
      <w:r w:rsidRPr="00B9191B">
        <w:rPr>
          <w:rFonts w:asciiTheme="majorBidi" w:hAnsiTheme="majorBidi" w:cstheme="majorBidi"/>
        </w:rPr>
        <w:t xml:space="preserve"> water from the District under a</w:t>
      </w:r>
      <w:r w:rsidR="00D57D40" w:rsidRPr="00B9191B">
        <w:rPr>
          <w:rFonts w:asciiTheme="majorBidi" w:hAnsiTheme="majorBidi" w:cstheme="majorBidi"/>
        </w:rPr>
        <w:t xml:space="preserve"> </w:t>
      </w:r>
      <w:r w:rsidR="001522AE">
        <w:rPr>
          <w:rFonts w:asciiTheme="majorBidi" w:hAnsiTheme="majorBidi" w:cstheme="majorBidi"/>
          <w:i/>
        </w:rPr>
        <w:t xml:space="preserve">de facto </w:t>
      </w:r>
      <w:r w:rsidR="00D57D40" w:rsidRPr="00B9191B">
        <w:rPr>
          <w:rFonts w:asciiTheme="majorBidi" w:hAnsiTheme="majorBidi" w:cstheme="majorBidi"/>
        </w:rPr>
        <w:t xml:space="preserve">perpetual </w:t>
      </w:r>
      <w:r w:rsidR="00A07B4C" w:rsidRPr="00B9191B">
        <w:rPr>
          <w:rFonts w:asciiTheme="majorBidi" w:hAnsiTheme="majorBidi" w:cstheme="majorBidi"/>
        </w:rPr>
        <w:t xml:space="preserve">wholesale </w:t>
      </w:r>
      <w:r w:rsidR="00D57D40" w:rsidRPr="00B9191B">
        <w:rPr>
          <w:rFonts w:asciiTheme="majorBidi" w:hAnsiTheme="majorBidi" w:cstheme="majorBidi"/>
        </w:rPr>
        <w:t>contract</w:t>
      </w:r>
      <w:r w:rsidRPr="00B9191B">
        <w:rPr>
          <w:rFonts w:asciiTheme="majorBidi" w:hAnsiTheme="majorBidi" w:cstheme="majorBidi"/>
        </w:rPr>
        <w:t xml:space="preserve">.  </w:t>
      </w:r>
      <w:r w:rsidR="000C227C">
        <w:rPr>
          <w:rFonts w:asciiTheme="majorBidi" w:hAnsiTheme="majorBidi" w:cstheme="majorBidi"/>
        </w:rPr>
        <w:t>T</w:t>
      </w:r>
      <w:r w:rsidR="005D396C" w:rsidRPr="00B9191B">
        <w:rPr>
          <w:rFonts w:asciiTheme="majorBidi" w:hAnsiTheme="majorBidi" w:cstheme="majorBidi"/>
        </w:rPr>
        <w:t>he District</w:t>
      </w:r>
      <w:r w:rsidR="003D3FDB" w:rsidRPr="00B9191B">
        <w:rPr>
          <w:rFonts w:asciiTheme="majorBidi" w:hAnsiTheme="majorBidi" w:cstheme="majorBidi"/>
        </w:rPr>
        <w:t xml:space="preserve"> recently increased</w:t>
      </w:r>
      <w:r w:rsidR="000C227C">
        <w:rPr>
          <w:rFonts w:asciiTheme="majorBidi" w:hAnsiTheme="majorBidi" w:cstheme="majorBidi"/>
        </w:rPr>
        <w:t xml:space="preserve"> its rates</w:t>
      </w:r>
      <w:r w:rsidR="003D3FDB" w:rsidRPr="00B9191B">
        <w:rPr>
          <w:rFonts w:asciiTheme="majorBidi" w:hAnsiTheme="majorBidi" w:cstheme="majorBidi"/>
        </w:rPr>
        <w:t xml:space="preserve"> </w:t>
      </w:r>
      <w:r w:rsidR="001522AE">
        <w:rPr>
          <w:rFonts w:asciiTheme="majorBidi" w:hAnsiTheme="majorBidi" w:cstheme="majorBidi"/>
        </w:rPr>
        <w:t xml:space="preserve">for the 2017-18 fiscal year </w:t>
      </w:r>
      <w:r w:rsidR="003D3FDB" w:rsidRPr="00B9191B">
        <w:rPr>
          <w:rFonts w:asciiTheme="majorBidi" w:hAnsiTheme="majorBidi" w:cstheme="majorBidi"/>
        </w:rPr>
        <w:t xml:space="preserve">by </w:t>
      </w:r>
      <w:r w:rsidR="001522AE">
        <w:rPr>
          <w:rFonts w:asciiTheme="majorBidi" w:hAnsiTheme="majorBidi" w:cstheme="majorBidi"/>
        </w:rPr>
        <w:t xml:space="preserve">an additional </w:t>
      </w:r>
      <w:r w:rsidR="005B5711">
        <w:rPr>
          <w:rFonts w:asciiTheme="majorBidi" w:hAnsiTheme="majorBidi" w:cstheme="majorBidi"/>
        </w:rPr>
        <w:t>ten</w:t>
      </w:r>
      <w:r w:rsidR="000C227C">
        <w:rPr>
          <w:rFonts w:asciiTheme="majorBidi" w:hAnsiTheme="majorBidi" w:cstheme="majorBidi"/>
        </w:rPr>
        <w:t xml:space="preserve"> percent</w:t>
      </w:r>
      <w:r w:rsidR="001522AE">
        <w:rPr>
          <w:rFonts w:asciiTheme="majorBidi" w:hAnsiTheme="majorBidi" w:cstheme="majorBidi"/>
        </w:rPr>
        <w:t>.  The District h</w:t>
      </w:r>
      <w:r w:rsidR="003D3FDB" w:rsidRPr="00B9191B">
        <w:rPr>
          <w:rFonts w:asciiTheme="majorBidi" w:hAnsiTheme="majorBidi" w:cstheme="majorBidi"/>
        </w:rPr>
        <w:t xml:space="preserve">as </w:t>
      </w:r>
      <w:r w:rsidR="005B5711">
        <w:rPr>
          <w:rFonts w:asciiTheme="majorBidi" w:hAnsiTheme="majorBidi" w:cstheme="majorBidi"/>
        </w:rPr>
        <w:t>more than doubled</w:t>
      </w:r>
      <w:r w:rsidR="003D3FDB" w:rsidRPr="00B9191B">
        <w:rPr>
          <w:rFonts w:asciiTheme="majorBidi" w:hAnsiTheme="majorBidi" w:cstheme="majorBidi"/>
        </w:rPr>
        <w:t xml:space="preserve"> </w:t>
      </w:r>
      <w:r w:rsidR="000C227C">
        <w:rPr>
          <w:rFonts w:asciiTheme="majorBidi" w:hAnsiTheme="majorBidi" w:cstheme="majorBidi"/>
        </w:rPr>
        <w:t xml:space="preserve">its </w:t>
      </w:r>
      <w:r w:rsidR="001522AE">
        <w:rPr>
          <w:rFonts w:asciiTheme="majorBidi" w:hAnsiTheme="majorBidi" w:cstheme="majorBidi"/>
        </w:rPr>
        <w:t xml:space="preserve">wholesale water </w:t>
      </w:r>
      <w:r w:rsidR="000C227C">
        <w:rPr>
          <w:rFonts w:asciiTheme="majorBidi" w:hAnsiTheme="majorBidi" w:cstheme="majorBidi"/>
        </w:rPr>
        <w:t xml:space="preserve">rates </w:t>
      </w:r>
      <w:r w:rsidR="005B5711">
        <w:rPr>
          <w:rFonts w:asciiTheme="majorBidi" w:hAnsiTheme="majorBidi" w:cstheme="majorBidi"/>
        </w:rPr>
        <w:t>since 2011</w:t>
      </w:r>
      <w:r w:rsidR="003D3FDB" w:rsidRPr="00B9191B">
        <w:rPr>
          <w:rFonts w:asciiTheme="majorBidi" w:hAnsiTheme="majorBidi" w:cstheme="majorBidi"/>
        </w:rPr>
        <w:t>.</w:t>
      </w:r>
      <w:r w:rsidR="00C9076D" w:rsidRPr="00B9191B">
        <w:rPr>
          <w:rFonts w:asciiTheme="majorBidi" w:hAnsiTheme="majorBidi" w:cstheme="majorBidi"/>
        </w:rPr>
        <w:t xml:space="preserve">  </w:t>
      </w:r>
      <w:r w:rsidRPr="00B9191B">
        <w:rPr>
          <w:rFonts w:asciiTheme="majorBidi" w:hAnsiTheme="majorBidi" w:cstheme="majorBidi"/>
        </w:rPr>
        <w:t>The District</w:t>
      </w:r>
      <w:r w:rsidR="00D57D40" w:rsidRPr="00B9191B">
        <w:rPr>
          <w:rFonts w:asciiTheme="majorBidi" w:hAnsiTheme="majorBidi" w:cstheme="majorBidi"/>
        </w:rPr>
        <w:t>’s rates</w:t>
      </w:r>
      <w:r w:rsidRPr="00B9191B">
        <w:rPr>
          <w:rFonts w:asciiTheme="majorBidi" w:hAnsiTheme="majorBidi" w:cstheme="majorBidi"/>
        </w:rPr>
        <w:t xml:space="preserve"> </w:t>
      </w:r>
      <w:r w:rsidR="00EC3FF7">
        <w:rPr>
          <w:rFonts w:asciiTheme="majorBidi" w:hAnsiTheme="majorBidi" w:cstheme="majorBidi"/>
        </w:rPr>
        <w:t xml:space="preserve">set pursuant to the contract between the Petitioning Cities and the District </w:t>
      </w:r>
      <w:r w:rsidR="00F6116A" w:rsidRPr="00B9191B">
        <w:rPr>
          <w:rFonts w:asciiTheme="majorBidi" w:hAnsiTheme="majorBidi" w:cstheme="majorBidi"/>
        </w:rPr>
        <w:t>have become</w:t>
      </w:r>
      <w:r w:rsidR="00E76CDE" w:rsidRPr="00B9191B">
        <w:rPr>
          <w:rFonts w:asciiTheme="majorBidi" w:hAnsiTheme="majorBidi" w:cstheme="majorBidi"/>
        </w:rPr>
        <w:t xml:space="preserve"> </w:t>
      </w:r>
      <w:r w:rsidR="008E09BC">
        <w:rPr>
          <w:rFonts w:asciiTheme="majorBidi" w:hAnsiTheme="majorBidi" w:cstheme="majorBidi"/>
        </w:rPr>
        <w:t xml:space="preserve">unconscionable and are </w:t>
      </w:r>
      <w:r w:rsidR="00F37772">
        <w:rPr>
          <w:rFonts w:asciiTheme="majorBidi" w:hAnsiTheme="majorBidi" w:cstheme="majorBidi"/>
        </w:rPr>
        <w:t>unjust and unreasonable</w:t>
      </w:r>
      <w:r w:rsidR="00D57D40" w:rsidRPr="00B9191B">
        <w:rPr>
          <w:rFonts w:asciiTheme="majorBidi" w:hAnsiTheme="majorBidi" w:cstheme="majorBidi"/>
        </w:rPr>
        <w:t xml:space="preserve">.  </w:t>
      </w:r>
      <w:r w:rsidRPr="00B9191B">
        <w:rPr>
          <w:rFonts w:asciiTheme="majorBidi" w:hAnsiTheme="majorBidi" w:cstheme="majorBidi"/>
        </w:rPr>
        <w:t>The Petitioning Cities had no choice but to appeal the District’s rates</w:t>
      </w:r>
      <w:r w:rsidR="00054EF3" w:rsidRPr="00B9191B">
        <w:rPr>
          <w:rFonts w:asciiTheme="majorBidi" w:hAnsiTheme="majorBidi" w:cstheme="majorBidi"/>
        </w:rPr>
        <w:t xml:space="preserve"> to the Commission</w:t>
      </w:r>
      <w:r w:rsidRPr="00B9191B">
        <w:rPr>
          <w:rFonts w:asciiTheme="majorBidi" w:hAnsiTheme="majorBidi" w:cstheme="majorBidi"/>
        </w:rPr>
        <w:t>.</w:t>
      </w:r>
    </w:p>
    <w:p w14:paraId="43A82F19" w14:textId="62C8FC94" w:rsidR="00881A6E" w:rsidRPr="00B9191B" w:rsidRDefault="00933625" w:rsidP="00CC3606">
      <w:pPr>
        <w:spacing w:after="0" w:line="360" w:lineRule="auto"/>
        <w:ind w:firstLine="720"/>
        <w:rPr>
          <w:rFonts w:asciiTheme="majorBidi" w:hAnsiTheme="majorBidi" w:cstheme="majorBidi"/>
        </w:rPr>
      </w:pPr>
      <w:r w:rsidRPr="00B9191B">
        <w:rPr>
          <w:rFonts w:asciiTheme="majorBidi" w:hAnsiTheme="majorBidi" w:cstheme="majorBidi"/>
        </w:rPr>
        <w:t>Without qualification, the Texas Water Code</w:t>
      </w:r>
      <w:r w:rsidR="000574D6" w:rsidRPr="00B9191B">
        <w:rPr>
          <w:rFonts w:asciiTheme="majorBidi" w:hAnsiTheme="majorBidi" w:cstheme="majorBidi"/>
        </w:rPr>
        <w:t xml:space="preserve"> </w:t>
      </w:r>
      <w:r w:rsidR="000C227C">
        <w:rPr>
          <w:rFonts w:asciiTheme="majorBidi" w:hAnsiTheme="majorBidi" w:cstheme="majorBidi"/>
        </w:rPr>
        <w:t xml:space="preserve">authorizes the Commission to review the District’s </w:t>
      </w:r>
      <w:r w:rsidR="00EC3FF7">
        <w:rPr>
          <w:rFonts w:asciiTheme="majorBidi" w:hAnsiTheme="majorBidi" w:cstheme="majorBidi"/>
        </w:rPr>
        <w:t xml:space="preserve">wholesale </w:t>
      </w:r>
      <w:r w:rsidR="000C227C">
        <w:rPr>
          <w:rFonts w:asciiTheme="majorBidi" w:hAnsiTheme="majorBidi" w:cstheme="majorBidi"/>
        </w:rPr>
        <w:t>rates.</w:t>
      </w:r>
      <w:r w:rsidR="00B11A7F" w:rsidRPr="00B9191B">
        <w:rPr>
          <w:rStyle w:val="FootnoteReference"/>
          <w:rFonts w:asciiTheme="majorBidi" w:hAnsiTheme="majorBidi" w:cstheme="majorBidi"/>
        </w:rPr>
        <w:footnoteReference w:id="2"/>
      </w:r>
      <w:r w:rsidR="00B11A7F" w:rsidRPr="00B9191B">
        <w:rPr>
          <w:rFonts w:asciiTheme="majorBidi" w:hAnsiTheme="majorBidi" w:cstheme="majorBidi"/>
        </w:rPr>
        <w:t xml:space="preserve"> </w:t>
      </w:r>
      <w:r w:rsidR="00E76CDE" w:rsidRPr="00B9191B">
        <w:rPr>
          <w:rFonts w:asciiTheme="majorBidi" w:hAnsiTheme="majorBidi" w:cstheme="majorBidi"/>
        </w:rPr>
        <w:t xml:space="preserve">For decades, the Legislature and the courts have recognized the jurisdiction of the Commission and predecessor agencies </w:t>
      </w:r>
      <w:r w:rsidR="00335CB1">
        <w:rPr>
          <w:rFonts w:asciiTheme="majorBidi" w:hAnsiTheme="majorBidi" w:cstheme="majorBidi"/>
        </w:rPr>
        <w:t>to review and set wholesale water rate</w:t>
      </w:r>
      <w:r w:rsidR="00E76CDE" w:rsidRPr="00B9191B">
        <w:rPr>
          <w:rFonts w:asciiTheme="majorBidi" w:hAnsiTheme="majorBidi" w:cstheme="majorBidi"/>
        </w:rPr>
        <w:t>s</w:t>
      </w:r>
      <w:r w:rsidR="00335CB1">
        <w:rPr>
          <w:rFonts w:asciiTheme="majorBidi" w:hAnsiTheme="majorBidi" w:cstheme="majorBidi"/>
        </w:rPr>
        <w:t>, including rates</w:t>
      </w:r>
      <w:r w:rsidR="00AF0F85">
        <w:rPr>
          <w:rFonts w:asciiTheme="majorBidi" w:hAnsiTheme="majorBidi" w:cstheme="majorBidi"/>
        </w:rPr>
        <w:t xml:space="preserve"> set pursuant to contracts</w:t>
      </w:r>
      <w:r w:rsidR="00335CB1">
        <w:rPr>
          <w:rFonts w:asciiTheme="majorBidi" w:hAnsiTheme="majorBidi" w:cstheme="majorBidi"/>
        </w:rPr>
        <w:t xml:space="preserve">, and just </w:t>
      </w:r>
      <w:r w:rsidR="00C9076D" w:rsidRPr="00B9191B">
        <w:rPr>
          <w:rFonts w:asciiTheme="majorBidi" w:hAnsiTheme="majorBidi" w:cstheme="majorBidi"/>
        </w:rPr>
        <w:t xml:space="preserve">last year the Commission affirmed its jurisdiction </w:t>
      </w:r>
      <w:r w:rsidR="005D396C" w:rsidRPr="00B9191B">
        <w:rPr>
          <w:rFonts w:asciiTheme="majorBidi" w:hAnsiTheme="majorBidi" w:cstheme="majorBidi"/>
        </w:rPr>
        <w:t>to review</w:t>
      </w:r>
      <w:r w:rsidR="00335CB1">
        <w:rPr>
          <w:rFonts w:asciiTheme="majorBidi" w:hAnsiTheme="majorBidi" w:cstheme="majorBidi"/>
        </w:rPr>
        <w:t xml:space="preserve"> the District’s </w:t>
      </w:r>
      <w:r w:rsidR="00C9076D" w:rsidRPr="00B9191B">
        <w:rPr>
          <w:rFonts w:asciiTheme="majorBidi" w:hAnsiTheme="majorBidi" w:cstheme="majorBidi"/>
        </w:rPr>
        <w:t>rates.</w:t>
      </w:r>
    </w:p>
    <w:p w14:paraId="5C6FE924" w14:textId="242189B3" w:rsidR="00DE7AD1" w:rsidRPr="00B9191B" w:rsidRDefault="00AF0F85" w:rsidP="00CC3606">
      <w:pPr>
        <w:spacing w:after="0" w:line="360" w:lineRule="auto"/>
        <w:ind w:firstLine="720"/>
        <w:rPr>
          <w:rFonts w:asciiTheme="majorBidi" w:hAnsiTheme="majorBidi" w:cstheme="majorBidi"/>
        </w:rPr>
      </w:pPr>
      <w:r>
        <w:rPr>
          <w:rFonts w:asciiTheme="majorBidi" w:hAnsiTheme="majorBidi" w:cstheme="majorBidi"/>
        </w:rPr>
        <w:t>In an attempt t</w:t>
      </w:r>
      <w:r w:rsidR="00335CB1">
        <w:rPr>
          <w:rFonts w:asciiTheme="majorBidi" w:hAnsiTheme="majorBidi" w:cstheme="majorBidi"/>
        </w:rPr>
        <w:t>o hide</w:t>
      </w:r>
      <w:r w:rsidR="000C227C">
        <w:rPr>
          <w:rFonts w:asciiTheme="majorBidi" w:hAnsiTheme="majorBidi" w:cstheme="majorBidi"/>
        </w:rPr>
        <w:t xml:space="preserve"> its rates from Commission</w:t>
      </w:r>
      <w:r w:rsidR="00D57D40" w:rsidRPr="00B9191B">
        <w:rPr>
          <w:rFonts w:asciiTheme="majorBidi" w:hAnsiTheme="majorBidi" w:cstheme="majorBidi"/>
        </w:rPr>
        <w:t xml:space="preserve"> </w:t>
      </w:r>
      <w:r w:rsidR="000C227C">
        <w:rPr>
          <w:rFonts w:asciiTheme="majorBidi" w:hAnsiTheme="majorBidi" w:cstheme="majorBidi"/>
        </w:rPr>
        <w:t>scrutiny,</w:t>
      </w:r>
      <w:r w:rsidR="00881A6E" w:rsidRPr="00B9191B">
        <w:rPr>
          <w:rFonts w:asciiTheme="majorBidi" w:hAnsiTheme="majorBidi" w:cstheme="majorBidi"/>
        </w:rPr>
        <w:t xml:space="preserve"> the District</w:t>
      </w:r>
      <w:r w:rsidR="00054EF3" w:rsidRPr="00B9191B">
        <w:rPr>
          <w:rFonts w:asciiTheme="majorBidi" w:hAnsiTheme="majorBidi" w:cstheme="majorBidi"/>
        </w:rPr>
        <w:t xml:space="preserve"> </w:t>
      </w:r>
      <w:r>
        <w:rPr>
          <w:rFonts w:asciiTheme="majorBidi" w:hAnsiTheme="majorBidi" w:cstheme="majorBidi"/>
        </w:rPr>
        <w:t xml:space="preserve">erroneously </w:t>
      </w:r>
      <w:r w:rsidR="00D57D40" w:rsidRPr="00B9191B">
        <w:rPr>
          <w:rFonts w:asciiTheme="majorBidi" w:hAnsiTheme="majorBidi" w:cstheme="majorBidi"/>
        </w:rPr>
        <w:t xml:space="preserve">argues that the appeal </w:t>
      </w:r>
      <w:r w:rsidR="005D396C" w:rsidRPr="00B9191B">
        <w:rPr>
          <w:rFonts w:asciiTheme="majorBidi" w:hAnsiTheme="majorBidi" w:cstheme="majorBidi"/>
        </w:rPr>
        <w:t xml:space="preserve">impermissibly </w:t>
      </w:r>
      <w:r w:rsidR="00D57D40" w:rsidRPr="00B9191B">
        <w:rPr>
          <w:rFonts w:asciiTheme="majorBidi" w:hAnsiTheme="majorBidi" w:cstheme="majorBidi"/>
        </w:rPr>
        <w:t xml:space="preserve">threatens its bonds because the Petitioning Cities are collaterally attacking a “multilateral public financing and facilities contract” and that the Commission’s </w:t>
      </w:r>
      <w:r w:rsidR="00D57D40" w:rsidRPr="00B9191B">
        <w:rPr>
          <w:rFonts w:asciiTheme="majorBidi" w:hAnsiTheme="majorBidi" w:cstheme="majorBidi"/>
        </w:rPr>
        <w:lastRenderedPageBreak/>
        <w:t xml:space="preserve">jurisdiction should be limited to </w:t>
      </w:r>
      <w:r w:rsidR="00F6116A" w:rsidRPr="00B9191B">
        <w:rPr>
          <w:rFonts w:asciiTheme="majorBidi" w:hAnsiTheme="majorBidi" w:cstheme="majorBidi"/>
        </w:rPr>
        <w:t xml:space="preserve">reviewing </w:t>
      </w:r>
      <w:r w:rsidR="00D57D40" w:rsidRPr="00B9191B">
        <w:rPr>
          <w:rFonts w:asciiTheme="majorBidi" w:hAnsiTheme="majorBidi" w:cstheme="majorBidi"/>
        </w:rPr>
        <w:t xml:space="preserve">rates charged under </w:t>
      </w:r>
      <w:r w:rsidR="00054EF3" w:rsidRPr="00B9191B">
        <w:rPr>
          <w:rFonts w:asciiTheme="majorBidi" w:hAnsiTheme="majorBidi" w:cstheme="majorBidi"/>
        </w:rPr>
        <w:t>“a simple, bilateral contract structure.”</w:t>
      </w:r>
      <w:r w:rsidR="005D396C" w:rsidRPr="00B9191B">
        <w:rPr>
          <w:rStyle w:val="FootnoteReference"/>
          <w:rFonts w:asciiTheme="majorBidi" w:hAnsiTheme="majorBidi" w:cstheme="majorBidi"/>
        </w:rPr>
        <w:footnoteReference w:id="3"/>
      </w:r>
      <w:r w:rsidR="00054EF3" w:rsidRPr="00B9191B">
        <w:rPr>
          <w:rFonts w:asciiTheme="majorBidi" w:hAnsiTheme="majorBidi" w:cstheme="majorBidi"/>
        </w:rPr>
        <w:t xml:space="preserve"> </w:t>
      </w:r>
      <w:r w:rsidR="00AE274C" w:rsidRPr="00B9191B">
        <w:rPr>
          <w:rFonts w:asciiTheme="majorBidi" w:hAnsiTheme="majorBidi" w:cstheme="majorBidi"/>
        </w:rPr>
        <w:t xml:space="preserve">But </w:t>
      </w:r>
      <w:r w:rsidR="00070331">
        <w:rPr>
          <w:rFonts w:asciiTheme="majorBidi" w:hAnsiTheme="majorBidi" w:cstheme="majorBidi"/>
        </w:rPr>
        <w:t xml:space="preserve">no law so </w:t>
      </w:r>
      <w:r w:rsidR="00335CB1">
        <w:rPr>
          <w:rFonts w:asciiTheme="majorBidi" w:hAnsiTheme="majorBidi" w:cstheme="majorBidi"/>
        </w:rPr>
        <w:t>confine</w:t>
      </w:r>
      <w:r w:rsidR="00070331">
        <w:rPr>
          <w:rFonts w:asciiTheme="majorBidi" w:hAnsiTheme="majorBidi" w:cstheme="majorBidi"/>
        </w:rPr>
        <w:t>s</w:t>
      </w:r>
      <w:r w:rsidR="00F6116A" w:rsidRPr="00B9191B">
        <w:rPr>
          <w:rFonts w:asciiTheme="majorBidi" w:hAnsiTheme="majorBidi" w:cstheme="majorBidi"/>
        </w:rPr>
        <w:t xml:space="preserve"> the Commission’s </w:t>
      </w:r>
      <w:r>
        <w:rPr>
          <w:rFonts w:asciiTheme="majorBidi" w:hAnsiTheme="majorBidi" w:cstheme="majorBidi"/>
        </w:rPr>
        <w:t xml:space="preserve">rate </w:t>
      </w:r>
      <w:r w:rsidR="00F6116A" w:rsidRPr="00B9191B">
        <w:rPr>
          <w:rFonts w:asciiTheme="majorBidi" w:hAnsiTheme="majorBidi" w:cstheme="majorBidi"/>
        </w:rPr>
        <w:t>jurisdiction</w:t>
      </w:r>
      <w:r w:rsidR="00070331">
        <w:rPr>
          <w:rFonts w:asciiTheme="majorBidi" w:hAnsiTheme="majorBidi" w:cstheme="majorBidi"/>
        </w:rPr>
        <w:t xml:space="preserve"> under the Texas Water Code, which is why</w:t>
      </w:r>
      <w:r w:rsidR="005D396C" w:rsidRPr="00B9191B">
        <w:rPr>
          <w:rFonts w:asciiTheme="majorBidi" w:hAnsiTheme="majorBidi" w:cstheme="majorBidi"/>
        </w:rPr>
        <w:t xml:space="preserve"> </w:t>
      </w:r>
      <w:r w:rsidR="00AE274C" w:rsidRPr="00B9191B">
        <w:rPr>
          <w:rFonts w:asciiTheme="majorBidi" w:hAnsiTheme="majorBidi" w:cstheme="majorBidi"/>
        </w:rPr>
        <w:t>the District’s</w:t>
      </w:r>
      <w:r w:rsidR="00054EF3" w:rsidRPr="00B9191B">
        <w:rPr>
          <w:rFonts w:asciiTheme="majorBidi" w:hAnsiTheme="majorBidi" w:cstheme="majorBidi"/>
        </w:rPr>
        <w:t xml:space="preserve"> </w:t>
      </w:r>
      <w:r w:rsidR="00D57D40" w:rsidRPr="00B9191B">
        <w:rPr>
          <w:rFonts w:asciiTheme="majorBidi" w:hAnsiTheme="majorBidi" w:cstheme="majorBidi"/>
        </w:rPr>
        <w:t>arguments were</w:t>
      </w:r>
      <w:r w:rsidR="00070331">
        <w:rPr>
          <w:rFonts w:asciiTheme="majorBidi" w:hAnsiTheme="majorBidi" w:cstheme="majorBidi"/>
        </w:rPr>
        <w:t xml:space="preserve"> rightly</w:t>
      </w:r>
      <w:r w:rsidR="00D57D40" w:rsidRPr="00B9191B">
        <w:rPr>
          <w:rFonts w:asciiTheme="majorBidi" w:hAnsiTheme="majorBidi" w:cstheme="majorBidi"/>
        </w:rPr>
        <w:t xml:space="preserve"> rejected by </w:t>
      </w:r>
      <w:r>
        <w:rPr>
          <w:rFonts w:asciiTheme="majorBidi" w:hAnsiTheme="majorBidi" w:cstheme="majorBidi"/>
        </w:rPr>
        <w:t xml:space="preserve">both </w:t>
      </w:r>
      <w:r w:rsidR="00D57D40" w:rsidRPr="00B9191B">
        <w:rPr>
          <w:rFonts w:asciiTheme="majorBidi" w:hAnsiTheme="majorBidi" w:cstheme="majorBidi"/>
        </w:rPr>
        <w:t>the Commission and a Travis County District Court less than a year ago</w:t>
      </w:r>
      <w:r w:rsidR="005B5711">
        <w:rPr>
          <w:rFonts w:asciiTheme="majorBidi" w:hAnsiTheme="majorBidi" w:cstheme="majorBidi"/>
        </w:rPr>
        <w:t>. The Commission should reject them again</w:t>
      </w:r>
      <w:r w:rsidR="00070331">
        <w:rPr>
          <w:rFonts w:asciiTheme="majorBidi" w:hAnsiTheme="majorBidi" w:cstheme="majorBidi"/>
        </w:rPr>
        <w:t xml:space="preserve"> by denying the District’s Motion</w:t>
      </w:r>
      <w:r w:rsidR="005B5711">
        <w:rPr>
          <w:rFonts w:asciiTheme="majorBidi" w:hAnsiTheme="majorBidi" w:cstheme="majorBidi"/>
        </w:rPr>
        <w:t>.</w:t>
      </w:r>
      <w:r w:rsidR="005D396C" w:rsidRPr="00B9191B">
        <w:rPr>
          <w:rFonts w:asciiTheme="majorBidi" w:hAnsiTheme="majorBidi" w:cstheme="majorBidi"/>
        </w:rPr>
        <w:t xml:space="preserve"> </w:t>
      </w:r>
      <w:r w:rsidR="008E09BC">
        <w:rPr>
          <w:rFonts w:asciiTheme="majorBidi" w:hAnsiTheme="majorBidi" w:cstheme="majorBidi"/>
        </w:rPr>
        <w:t xml:space="preserve"> The Commission’s jurisdiction over this case is clear.</w:t>
      </w:r>
    </w:p>
    <w:p w14:paraId="6C76F572" w14:textId="05C5A5B4" w:rsidR="00CC3606" w:rsidRPr="00677F41" w:rsidRDefault="00677F41" w:rsidP="00C07070">
      <w:pPr>
        <w:pStyle w:val="Heading1"/>
        <w:rPr>
          <w:rFonts w:asciiTheme="majorBidi" w:hAnsiTheme="majorBidi" w:cstheme="majorBidi"/>
        </w:rPr>
      </w:pPr>
      <w:r w:rsidRPr="00677F41">
        <w:rPr>
          <w:rFonts w:hint="eastAsia"/>
        </w:rPr>
        <w:br/>
      </w:r>
      <w:bookmarkStart w:id="5" w:name="_Toc507084056"/>
      <w:bookmarkStart w:id="6" w:name="_Toc507084383"/>
      <w:bookmarkStart w:id="7" w:name="_Toc507619261"/>
      <w:r w:rsidR="00CC3606" w:rsidRPr="00677F41">
        <w:rPr>
          <w:rFonts w:asciiTheme="majorBidi" w:hAnsiTheme="majorBidi" w:cstheme="majorBidi"/>
        </w:rPr>
        <w:t>Background</w:t>
      </w:r>
      <w:bookmarkEnd w:id="5"/>
      <w:bookmarkEnd w:id="6"/>
      <w:bookmarkEnd w:id="7"/>
    </w:p>
    <w:p w14:paraId="4FCDE65C" w14:textId="357DD70C" w:rsidR="00DA3711" w:rsidRDefault="00F51F91" w:rsidP="000C227C">
      <w:pPr>
        <w:spacing w:after="0" w:line="360" w:lineRule="auto"/>
        <w:ind w:firstLine="720"/>
        <w:rPr>
          <w:rFonts w:asciiTheme="majorBidi" w:hAnsiTheme="majorBidi" w:cstheme="majorBidi"/>
        </w:rPr>
      </w:pPr>
      <w:r w:rsidRPr="00B9191B">
        <w:rPr>
          <w:rFonts w:asciiTheme="majorBidi" w:hAnsiTheme="majorBidi" w:cstheme="majorBidi"/>
        </w:rPr>
        <w:t xml:space="preserve">On </w:t>
      </w:r>
      <w:r w:rsidR="00AD63C4" w:rsidRPr="00B9191B">
        <w:rPr>
          <w:rFonts w:asciiTheme="majorBidi" w:hAnsiTheme="majorBidi" w:cstheme="majorBidi"/>
        </w:rPr>
        <w:t>September 2</w:t>
      </w:r>
      <w:r w:rsidR="00732069" w:rsidRPr="00B9191B">
        <w:rPr>
          <w:rFonts w:asciiTheme="majorBidi" w:hAnsiTheme="majorBidi" w:cstheme="majorBidi"/>
        </w:rPr>
        <w:t>9</w:t>
      </w:r>
      <w:r w:rsidR="00AD63C4" w:rsidRPr="00B9191B">
        <w:rPr>
          <w:rFonts w:asciiTheme="majorBidi" w:hAnsiTheme="majorBidi" w:cstheme="majorBidi"/>
        </w:rPr>
        <w:t>, 201</w:t>
      </w:r>
      <w:r w:rsidR="00732069" w:rsidRPr="00B9191B">
        <w:rPr>
          <w:rFonts w:asciiTheme="majorBidi" w:hAnsiTheme="majorBidi" w:cstheme="majorBidi"/>
        </w:rPr>
        <w:t>7</w:t>
      </w:r>
      <w:r w:rsidR="00AD63C4" w:rsidRPr="00B9191B">
        <w:rPr>
          <w:rFonts w:asciiTheme="majorBidi" w:hAnsiTheme="majorBidi" w:cstheme="majorBidi"/>
        </w:rPr>
        <w:t xml:space="preserve">, the District </w:t>
      </w:r>
      <w:r w:rsidR="00AF0F85">
        <w:rPr>
          <w:rFonts w:asciiTheme="majorBidi" w:hAnsiTheme="majorBidi" w:cstheme="majorBidi"/>
        </w:rPr>
        <w:t>provided a written notice to each of the Petitioning Cities</w:t>
      </w:r>
      <w:r w:rsidR="005B5711">
        <w:rPr>
          <w:rFonts w:asciiTheme="majorBidi" w:hAnsiTheme="majorBidi" w:cstheme="majorBidi"/>
        </w:rPr>
        <w:t xml:space="preserve"> that it was </w:t>
      </w:r>
      <w:r w:rsidR="00AF0F85">
        <w:rPr>
          <w:rFonts w:asciiTheme="majorBidi" w:hAnsiTheme="majorBidi" w:cstheme="majorBidi"/>
        </w:rPr>
        <w:t xml:space="preserve">again </w:t>
      </w:r>
      <w:r w:rsidR="005B5711">
        <w:rPr>
          <w:rFonts w:asciiTheme="majorBidi" w:hAnsiTheme="majorBidi" w:cstheme="majorBidi"/>
        </w:rPr>
        <w:t>raising</w:t>
      </w:r>
      <w:r w:rsidR="00AD63C4" w:rsidRPr="00B9191B">
        <w:rPr>
          <w:rFonts w:asciiTheme="majorBidi" w:hAnsiTheme="majorBidi" w:cstheme="majorBidi"/>
        </w:rPr>
        <w:t xml:space="preserve"> </w:t>
      </w:r>
      <w:r w:rsidR="000C227C">
        <w:rPr>
          <w:rFonts w:asciiTheme="majorBidi" w:hAnsiTheme="majorBidi" w:cstheme="majorBidi"/>
        </w:rPr>
        <w:t>its</w:t>
      </w:r>
      <w:r w:rsidR="00AD63C4" w:rsidRPr="00B9191B">
        <w:rPr>
          <w:rFonts w:asciiTheme="majorBidi" w:hAnsiTheme="majorBidi" w:cstheme="majorBidi"/>
        </w:rPr>
        <w:t xml:space="preserve"> rates</w:t>
      </w:r>
      <w:r w:rsidR="00022067" w:rsidRPr="00B9191B">
        <w:rPr>
          <w:rFonts w:asciiTheme="majorBidi" w:hAnsiTheme="majorBidi" w:cstheme="majorBidi"/>
        </w:rPr>
        <w:t xml:space="preserve"> </w:t>
      </w:r>
      <w:r w:rsidR="00AF0F85">
        <w:rPr>
          <w:rFonts w:asciiTheme="majorBidi" w:hAnsiTheme="majorBidi" w:cstheme="majorBidi"/>
        </w:rPr>
        <w:t>for the provision of wholesale water</w:t>
      </w:r>
      <w:r w:rsidR="00AD63C4" w:rsidRPr="00B9191B">
        <w:rPr>
          <w:rFonts w:asciiTheme="majorBidi" w:hAnsiTheme="majorBidi" w:cstheme="majorBidi"/>
        </w:rPr>
        <w:t>.</w:t>
      </w:r>
      <w:r w:rsidR="00DA1793" w:rsidRPr="00B9191B">
        <w:rPr>
          <w:rStyle w:val="FootnoteReference"/>
          <w:rFonts w:asciiTheme="majorBidi" w:hAnsiTheme="majorBidi" w:cstheme="majorBidi"/>
        </w:rPr>
        <w:footnoteReference w:id="4"/>
      </w:r>
      <w:r w:rsidR="00AD63C4" w:rsidRPr="00B9191B">
        <w:rPr>
          <w:rFonts w:asciiTheme="majorBidi" w:hAnsiTheme="majorBidi" w:cstheme="majorBidi"/>
        </w:rPr>
        <w:t xml:space="preserve">  </w:t>
      </w:r>
      <w:r w:rsidR="006904ED" w:rsidRPr="00B9191B">
        <w:rPr>
          <w:rFonts w:asciiTheme="majorBidi" w:hAnsiTheme="majorBidi" w:cstheme="majorBidi"/>
        </w:rPr>
        <w:t>On D</w:t>
      </w:r>
      <w:r w:rsidRPr="00B9191B">
        <w:rPr>
          <w:rFonts w:asciiTheme="majorBidi" w:hAnsiTheme="majorBidi" w:cstheme="majorBidi"/>
        </w:rPr>
        <w:t>ecember 1</w:t>
      </w:r>
      <w:r w:rsidR="00DF5D51" w:rsidRPr="00B9191B">
        <w:rPr>
          <w:rFonts w:asciiTheme="majorBidi" w:hAnsiTheme="majorBidi" w:cstheme="majorBidi"/>
        </w:rPr>
        <w:t>5</w:t>
      </w:r>
      <w:r w:rsidRPr="00B9191B">
        <w:rPr>
          <w:rFonts w:asciiTheme="majorBidi" w:hAnsiTheme="majorBidi" w:cstheme="majorBidi"/>
        </w:rPr>
        <w:t>, 201</w:t>
      </w:r>
      <w:r w:rsidR="00DF5D51" w:rsidRPr="00B9191B">
        <w:rPr>
          <w:rFonts w:asciiTheme="majorBidi" w:hAnsiTheme="majorBidi" w:cstheme="majorBidi"/>
        </w:rPr>
        <w:t>7</w:t>
      </w:r>
      <w:r w:rsidRPr="00B9191B">
        <w:rPr>
          <w:rFonts w:asciiTheme="majorBidi" w:hAnsiTheme="majorBidi" w:cstheme="majorBidi"/>
        </w:rPr>
        <w:t xml:space="preserve">, </w:t>
      </w:r>
      <w:r w:rsidR="009B04A9" w:rsidRPr="00B9191B">
        <w:rPr>
          <w:rFonts w:asciiTheme="majorBidi" w:hAnsiTheme="majorBidi" w:cstheme="majorBidi"/>
        </w:rPr>
        <w:t>the Petitioning Cities</w:t>
      </w:r>
      <w:r w:rsidRPr="00B9191B">
        <w:rPr>
          <w:rFonts w:asciiTheme="majorBidi" w:hAnsiTheme="majorBidi" w:cstheme="majorBidi"/>
        </w:rPr>
        <w:t xml:space="preserve"> </w:t>
      </w:r>
      <w:r w:rsidR="00AF0F85">
        <w:rPr>
          <w:rFonts w:asciiTheme="majorBidi" w:hAnsiTheme="majorBidi" w:cstheme="majorBidi"/>
        </w:rPr>
        <w:t xml:space="preserve">timely </w:t>
      </w:r>
      <w:r w:rsidRPr="00B9191B">
        <w:rPr>
          <w:rFonts w:asciiTheme="majorBidi" w:hAnsiTheme="majorBidi" w:cstheme="majorBidi"/>
        </w:rPr>
        <w:t xml:space="preserve">appealed </w:t>
      </w:r>
      <w:r w:rsidR="00022067" w:rsidRPr="00B9191B">
        <w:rPr>
          <w:rFonts w:asciiTheme="majorBidi" w:hAnsiTheme="majorBidi" w:cstheme="majorBidi"/>
        </w:rPr>
        <w:t>the District’s rates</w:t>
      </w:r>
      <w:r w:rsidR="00AD63C4" w:rsidRPr="00B9191B">
        <w:rPr>
          <w:rFonts w:asciiTheme="majorBidi" w:hAnsiTheme="majorBidi" w:cstheme="majorBidi"/>
        </w:rPr>
        <w:t xml:space="preserve"> to the Commission pursuant to </w:t>
      </w:r>
      <w:r w:rsidR="009B04A9" w:rsidRPr="00B9191B">
        <w:rPr>
          <w:rFonts w:asciiTheme="majorBidi" w:hAnsiTheme="majorBidi" w:cstheme="majorBidi"/>
        </w:rPr>
        <w:t>Sections 12.013 and 13.043</w:t>
      </w:r>
      <w:r w:rsidR="000C227C">
        <w:rPr>
          <w:rFonts w:asciiTheme="majorBidi" w:hAnsiTheme="majorBidi" w:cstheme="majorBidi"/>
        </w:rPr>
        <w:t>(f)</w:t>
      </w:r>
      <w:r w:rsidR="009B04A9" w:rsidRPr="00B9191B">
        <w:rPr>
          <w:rFonts w:asciiTheme="majorBidi" w:hAnsiTheme="majorBidi" w:cstheme="majorBidi"/>
        </w:rPr>
        <w:t xml:space="preserve"> of the </w:t>
      </w:r>
      <w:r w:rsidR="00AD63C4" w:rsidRPr="00B9191B">
        <w:rPr>
          <w:rFonts w:asciiTheme="majorBidi" w:hAnsiTheme="majorBidi" w:cstheme="majorBidi"/>
        </w:rPr>
        <w:t>Texas Water Code</w:t>
      </w:r>
      <w:r w:rsidR="009B04A9" w:rsidRPr="00B9191B">
        <w:rPr>
          <w:rFonts w:asciiTheme="majorBidi" w:hAnsiTheme="majorBidi" w:cstheme="majorBidi"/>
        </w:rPr>
        <w:t xml:space="preserve"> </w:t>
      </w:r>
      <w:r w:rsidR="00AD63C4" w:rsidRPr="00B9191B">
        <w:rPr>
          <w:rFonts w:asciiTheme="majorBidi" w:hAnsiTheme="majorBidi" w:cstheme="majorBidi"/>
        </w:rPr>
        <w:t>and the Commission’s rules</w:t>
      </w:r>
      <w:r w:rsidRPr="00B9191B">
        <w:rPr>
          <w:rFonts w:asciiTheme="majorBidi" w:hAnsiTheme="majorBidi" w:cstheme="majorBidi"/>
        </w:rPr>
        <w:t>.</w:t>
      </w:r>
      <w:r w:rsidR="004E5A4E" w:rsidRPr="00B9191B">
        <w:rPr>
          <w:rStyle w:val="FootnoteReference"/>
          <w:rFonts w:asciiTheme="majorBidi" w:hAnsiTheme="majorBidi" w:cstheme="majorBidi"/>
        </w:rPr>
        <w:footnoteReference w:id="5"/>
      </w:r>
      <w:r w:rsidR="004F7642" w:rsidRPr="00B9191B">
        <w:rPr>
          <w:rFonts w:asciiTheme="majorBidi" w:hAnsiTheme="majorBidi" w:cstheme="majorBidi"/>
        </w:rPr>
        <w:t xml:space="preserve"> </w:t>
      </w:r>
      <w:r w:rsidR="00D113DA" w:rsidRPr="00B9191B">
        <w:rPr>
          <w:rFonts w:asciiTheme="majorBidi" w:hAnsiTheme="majorBidi" w:cstheme="majorBidi"/>
        </w:rPr>
        <w:t xml:space="preserve">Having determined that the Commission has jurisdiction, Commission Staff recommended that the Commission refer </w:t>
      </w:r>
      <w:r w:rsidR="00C9076D" w:rsidRPr="00B9191B">
        <w:rPr>
          <w:rFonts w:asciiTheme="majorBidi" w:hAnsiTheme="majorBidi" w:cstheme="majorBidi"/>
        </w:rPr>
        <w:t>the appeal</w:t>
      </w:r>
      <w:r w:rsidR="00D113DA" w:rsidRPr="00B9191B">
        <w:rPr>
          <w:rFonts w:asciiTheme="majorBidi" w:hAnsiTheme="majorBidi" w:cstheme="majorBidi"/>
        </w:rPr>
        <w:t xml:space="preserve"> to </w:t>
      </w:r>
      <w:r w:rsidR="008E09BC">
        <w:rPr>
          <w:rFonts w:asciiTheme="majorBidi" w:hAnsiTheme="majorBidi" w:cstheme="majorBidi"/>
        </w:rPr>
        <w:t>the State Office of Administrative Hearings (“</w:t>
      </w:r>
      <w:r w:rsidR="00F6116A" w:rsidRPr="00B9191B">
        <w:rPr>
          <w:rFonts w:asciiTheme="majorBidi" w:hAnsiTheme="majorBidi" w:cstheme="majorBidi"/>
        </w:rPr>
        <w:t>SOAH</w:t>
      </w:r>
      <w:r w:rsidR="008E09BC">
        <w:rPr>
          <w:rFonts w:asciiTheme="majorBidi" w:hAnsiTheme="majorBidi" w:cstheme="majorBidi"/>
        </w:rPr>
        <w:t>”)</w:t>
      </w:r>
      <w:r w:rsidR="00524BC4" w:rsidRPr="00B9191B">
        <w:rPr>
          <w:rFonts w:asciiTheme="majorBidi" w:hAnsiTheme="majorBidi" w:cstheme="majorBidi"/>
        </w:rPr>
        <w:t xml:space="preserve"> for </w:t>
      </w:r>
      <w:r w:rsidR="00C9076D" w:rsidRPr="00B9191B">
        <w:rPr>
          <w:rFonts w:asciiTheme="majorBidi" w:hAnsiTheme="majorBidi" w:cstheme="majorBidi"/>
        </w:rPr>
        <w:t>a public interest hearing</w:t>
      </w:r>
      <w:r w:rsidR="00D113DA" w:rsidRPr="00B9191B">
        <w:rPr>
          <w:rFonts w:asciiTheme="majorBidi" w:hAnsiTheme="majorBidi" w:cstheme="majorBidi"/>
        </w:rPr>
        <w:t>.</w:t>
      </w:r>
      <w:r w:rsidR="00D113DA" w:rsidRPr="00B9191B">
        <w:rPr>
          <w:rStyle w:val="FootnoteReference"/>
          <w:rFonts w:asciiTheme="majorBidi" w:hAnsiTheme="majorBidi" w:cstheme="majorBidi"/>
        </w:rPr>
        <w:footnoteReference w:id="6"/>
      </w:r>
      <w:r w:rsidR="00D113DA" w:rsidRPr="00B9191B">
        <w:rPr>
          <w:rFonts w:asciiTheme="majorBidi" w:hAnsiTheme="majorBidi" w:cstheme="majorBidi"/>
        </w:rPr>
        <w:t xml:space="preserve">  </w:t>
      </w:r>
      <w:r w:rsidR="00D57D40" w:rsidRPr="00B9191B">
        <w:rPr>
          <w:rFonts w:asciiTheme="majorBidi" w:hAnsiTheme="majorBidi" w:cstheme="majorBidi"/>
        </w:rPr>
        <w:t>T</w:t>
      </w:r>
      <w:r w:rsidR="007150AE" w:rsidRPr="00B9191B">
        <w:rPr>
          <w:rFonts w:asciiTheme="majorBidi" w:hAnsiTheme="majorBidi" w:cstheme="majorBidi"/>
        </w:rPr>
        <w:t xml:space="preserve">he Commission </w:t>
      </w:r>
      <w:r w:rsidR="005D396C" w:rsidRPr="00B9191B">
        <w:rPr>
          <w:rFonts w:asciiTheme="majorBidi" w:hAnsiTheme="majorBidi" w:cstheme="majorBidi"/>
        </w:rPr>
        <w:t>did so</w:t>
      </w:r>
      <w:r w:rsidR="007150AE" w:rsidRPr="00B9191B">
        <w:rPr>
          <w:rFonts w:asciiTheme="majorBidi" w:hAnsiTheme="majorBidi" w:cstheme="majorBidi"/>
        </w:rPr>
        <w:t>.</w:t>
      </w:r>
      <w:r w:rsidR="007150AE" w:rsidRPr="00B9191B">
        <w:rPr>
          <w:rStyle w:val="FootnoteReference"/>
          <w:rFonts w:asciiTheme="majorBidi" w:hAnsiTheme="majorBidi" w:cstheme="majorBidi"/>
        </w:rPr>
        <w:footnoteReference w:id="7"/>
      </w:r>
      <w:r w:rsidR="00E247B2" w:rsidRPr="00B9191B">
        <w:rPr>
          <w:rFonts w:asciiTheme="majorBidi" w:hAnsiTheme="majorBidi" w:cstheme="majorBidi"/>
        </w:rPr>
        <w:t xml:space="preserve">  </w:t>
      </w:r>
    </w:p>
    <w:p w14:paraId="40343193" w14:textId="5EF1AA00" w:rsidR="00DA3711" w:rsidRPr="00B9191B" w:rsidRDefault="00DA3711" w:rsidP="00DA3711">
      <w:pPr>
        <w:spacing w:after="0" w:line="360" w:lineRule="auto"/>
        <w:ind w:firstLine="720"/>
        <w:rPr>
          <w:rFonts w:asciiTheme="majorBidi" w:hAnsiTheme="majorBidi" w:cstheme="majorBidi"/>
        </w:rPr>
      </w:pPr>
      <w:r>
        <w:rPr>
          <w:rFonts w:asciiTheme="majorBidi" w:hAnsiTheme="majorBidi" w:cstheme="majorBidi"/>
        </w:rPr>
        <w:t xml:space="preserve">This motion to dismiss is essentially the same motion to dismiss </w:t>
      </w:r>
      <w:r w:rsidR="008E09BC">
        <w:rPr>
          <w:rFonts w:asciiTheme="majorBidi" w:hAnsiTheme="majorBidi" w:cstheme="majorBidi"/>
        </w:rPr>
        <w:t>previously brought</w:t>
      </w:r>
      <w:r>
        <w:rPr>
          <w:rFonts w:asciiTheme="majorBidi" w:hAnsiTheme="majorBidi" w:cstheme="majorBidi"/>
        </w:rPr>
        <w:t xml:space="preserve"> by the District in the existing rate appeal filed by the Petitioning Cities for the rates set by the District for the 2016-17 fiscal year.</w:t>
      </w:r>
      <w:r w:rsidRPr="00B9191B">
        <w:rPr>
          <w:rStyle w:val="FootnoteReference"/>
          <w:rFonts w:asciiTheme="majorBidi" w:hAnsiTheme="majorBidi" w:cstheme="majorBidi"/>
        </w:rPr>
        <w:footnoteReference w:id="8"/>
      </w:r>
      <w:r w:rsidRPr="00B9191B">
        <w:rPr>
          <w:rFonts w:asciiTheme="majorBidi" w:hAnsiTheme="majorBidi" w:cstheme="majorBidi"/>
        </w:rPr>
        <w:t xml:space="preserve">  </w:t>
      </w:r>
      <w:r>
        <w:rPr>
          <w:rFonts w:asciiTheme="majorBidi" w:hAnsiTheme="majorBidi" w:cstheme="majorBidi"/>
        </w:rPr>
        <w:t xml:space="preserve">In Docket No. 46662, </w:t>
      </w:r>
      <w:r w:rsidRPr="00B9191B">
        <w:rPr>
          <w:rFonts w:asciiTheme="majorBidi" w:hAnsiTheme="majorBidi" w:cstheme="majorBidi"/>
        </w:rPr>
        <w:t xml:space="preserve">the District asked the Commission to dismiss the </w:t>
      </w:r>
      <w:r>
        <w:rPr>
          <w:rFonts w:asciiTheme="majorBidi" w:hAnsiTheme="majorBidi" w:cstheme="majorBidi"/>
        </w:rPr>
        <w:t xml:space="preserve">Petitioning Cities’ rate </w:t>
      </w:r>
      <w:r w:rsidRPr="00B9191B">
        <w:rPr>
          <w:rFonts w:asciiTheme="majorBidi" w:hAnsiTheme="majorBidi" w:cstheme="majorBidi"/>
        </w:rPr>
        <w:t xml:space="preserve">appeal, arguing that the Commission lacked jurisdiction to review its contractual rates because its contract is </w:t>
      </w:r>
      <w:r w:rsidR="008E09BC">
        <w:rPr>
          <w:rFonts w:asciiTheme="majorBidi" w:hAnsiTheme="majorBidi" w:cstheme="majorBidi"/>
        </w:rPr>
        <w:t>“</w:t>
      </w:r>
      <w:r w:rsidRPr="00B9191B">
        <w:rPr>
          <w:rFonts w:asciiTheme="majorBidi" w:hAnsiTheme="majorBidi" w:cstheme="majorBidi"/>
        </w:rPr>
        <w:t>incontestable.</w:t>
      </w:r>
      <w:r w:rsidR="008E09BC">
        <w:rPr>
          <w:rFonts w:asciiTheme="majorBidi" w:hAnsiTheme="majorBidi" w:cstheme="majorBidi"/>
        </w:rPr>
        <w:t>”</w:t>
      </w:r>
      <w:r w:rsidRPr="00B9191B">
        <w:rPr>
          <w:rStyle w:val="FootnoteReference"/>
          <w:rFonts w:asciiTheme="majorBidi" w:hAnsiTheme="majorBidi" w:cstheme="majorBidi"/>
        </w:rPr>
        <w:footnoteReference w:id="9"/>
      </w:r>
      <w:r w:rsidRPr="00B9191B">
        <w:rPr>
          <w:rFonts w:asciiTheme="majorBidi" w:hAnsiTheme="majorBidi" w:cstheme="majorBidi"/>
        </w:rPr>
        <w:t xml:space="preserve">  </w:t>
      </w:r>
      <w:r>
        <w:rPr>
          <w:rFonts w:asciiTheme="majorBidi" w:hAnsiTheme="majorBidi" w:cstheme="majorBidi"/>
        </w:rPr>
        <w:t>The District simultaneously sued the Commission in Travis County District Court</w:t>
      </w:r>
      <w:r w:rsidRPr="00B9191B">
        <w:rPr>
          <w:rFonts w:asciiTheme="majorBidi" w:hAnsiTheme="majorBidi" w:cstheme="majorBidi"/>
        </w:rPr>
        <w:t xml:space="preserve">, arguing that the Commission lacked </w:t>
      </w:r>
      <w:r w:rsidRPr="00B9191B">
        <w:rPr>
          <w:rFonts w:asciiTheme="majorBidi" w:hAnsiTheme="majorBidi" w:cstheme="majorBidi"/>
        </w:rPr>
        <w:lastRenderedPageBreak/>
        <w:t>jurisdiction to review the District’s contractual rates on the same incontestability theory.</w:t>
      </w:r>
      <w:r w:rsidRPr="00B9191B">
        <w:rPr>
          <w:rStyle w:val="FootnoteReference"/>
          <w:rFonts w:asciiTheme="majorBidi" w:hAnsiTheme="majorBidi" w:cstheme="majorBidi"/>
        </w:rPr>
        <w:footnoteReference w:id="10"/>
      </w:r>
      <w:r w:rsidRPr="00B9191B">
        <w:rPr>
          <w:rFonts w:asciiTheme="majorBidi" w:hAnsiTheme="majorBidi" w:cstheme="majorBidi"/>
        </w:rPr>
        <w:t xml:space="preserve">  Both the Commission and Judge Karin Crump rejected the District’s arguments.</w:t>
      </w:r>
      <w:r w:rsidRPr="00B9191B">
        <w:rPr>
          <w:rStyle w:val="FootnoteReference"/>
          <w:rFonts w:asciiTheme="majorBidi" w:hAnsiTheme="majorBidi" w:cstheme="majorBidi"/>
        </w:rPr>
        <w:footnoteReference w:id="11"/>
      </w:r>
      <w:r w:rsidRPr="00B9191B">
        <w:rPr>
          <w:rFonts w:asciiTheme="majorBidi" w:hAnsiTheme="majorBidi" w:cstheme="majorBidi"/>
        </w:rPr>
        <w:t xml:space="preserve">  </w:t>
      </w:r>
    </w:p>
    <w:p w14:paraId="78F6B053" w14:textId="5E180FCC" w:rsidR="00AF0F85" w:rsidRPr="00B9191B" w:rsidRDefault="00F6116A" w:rsidP="000C227C">
      <w:pPr>
        <w:spacing w:after="0" w:line="360" w:lineRule="auto"/>
        <w:ind w:firstLine="720"/>
        <w:rPr>
          <w:rFonts w:asciiTheme="majorBidi" w:hAnsiTheme="majorBidi" w:cstheme="majorBidi"/>
        </w:rPr>
      </w:pPr>
      <w:r w:rsidRPr="00B9191B">
        <w:rPr>
          <w:rFonts w:asciiTheme="majorBidi" w:hAnsiTheme="majorBidi" w:cstheme="majorBidi"/>
        </w:rPr>
        <w:t xml:space="preserve">Recycling the jurisdictional theories that the Commission and Judge Karin Crump discarded last year, </w:t>
      </w:r>
      <w:r w:rsidR="000C227C">
        <w:rPr>
          <w:rFonts w:asciiTheme="majorBidi" w:hAnsiTheme="majorBidi" w:cstheme="majorBidi"/>
        </w:rPr>
        <w:t>the District now</w:t>
      </w:r>
      <w:r w:rsidR="00022067" w:rsidRPr="00B9191B">
        <w:rPr>
          <w:rFonts w:asciiTheme="majorBidi" w:hAnsiTheme="majorBidi" w:cstheme="majorBidi"/>
        </w:rPr>
        <w:t xml:space="preserve"> </w:t>
      </w:r>
      <w:r w:rsidR="000C227C">
        <w:rPr>
          <w:rFonts w:asciiTheme="majorBidi" w:hAnsiTheme="majorBidi" w:cstheme="majorBidi"/>
        </w:rPr>
        <w:t>asks</w:t>
      </w:r>
      <w:r w:rsidR="005D396C" w:rsidRPr="00B9191B">
        <w:rPr>
          <w:rFonts w:asciiTheme="majorBidi" w:hAnsiTheme="majorBidi" w:cstheme="majorBidi"/>
        </w:rPr>
        <w:t xml:space="preserve"> the Commission </w:t>
      </w:r>
      <w:r w:rsidR="00022067" w:rsidRPr="00B9191B">
        <w:rPr>
          <w:rFonts w:asciiTheme="majorBidi" w:hAnsiTheme="majorBidi" w:cstheme="majorBidi"/>
        </w:rPr>
        <w:t xml:space="preserve">to dismiss </w:t>
      </w:r>
      <w:r w:rsidR="00D57D40" w:rsidRPr="00B9191B">
        <w:rPr>
          <w:rFonts w:asciiTheme="majorBidi" w:hAnsiTheme="majorBidi" w:cstheme="majorBidi"/>
        </w:rPr>
        <w:t xml:space="preserve">the Petitioning Cities’ </w:t>
      </w:r>
      <w:r w:rsidR="00C9076D" w:rsidRPr="00B9191B">
        <w:rPr>
          <w:rFonts w:asciiTheme="majorBidi" w:hAnsiTheme="majorBidi" w:cstheme="majorBidi"/>
        </w:rPr>
        <w:t xml:space="preserve">new </w:t>
      </w:r>
      <w:r w:rsidR="00DD2469">
        <w:rPr>
          <w:rFonts w:asciiTheme="majorBidi" w:hAnsiTheme="majorBidi" w:cstheme="majorBidi"/>
        </w:rPr>
        <w:t xml:space="preserve">rate </w:t>
      </w:r>
      <w:r w:rsidR="00D57D40" w:rsidRPr="00B9191B">
        <w:rPr>
          <w:rFonts w:asciiTheme="majorBidi" w:hAnsiTheme="majorBidi" w:cstheme="majorBidi"/>
        </w:rPr>
        <w:t>appeal.</w:t>
      </w:r>
      <w:r w:rsidR="005D396C" w:rsidRPr="00B9191B">
        <w:rPr>
          <w:rStyle w:val="FootnoteReference"/>
          <w:rFonts w:asciiTheme="majorBidi" w:hAnsiTheme="majorBidi" w:cstheme="majorBidi"/>
        </w:rPr>
        <w:footnoteReference w:id="12"/>
      </w:r>
      <w:r w:rsidR="00780D3C">
        <w:rPr>
          <w:rFonts w:asciiTheme="majorBidi" w:hAnsiTheme="majorBidi" w:cstheme="majorBidi"/>
        </w:rPr>
        <w:t xml:space="preserve"> </w:t>
      </w:r>
    </w:p>
    <w:p w14:paraId="79B33FA4" w14:textId="3EF42E23" w:rsidR="00CC3606" w:rsidRPr="00677F41" w:rsidRDefault="00677F41" w:rsidP="00C07070">
      <w:pPr>
        <w:pStyle w:val="Heading1"/>
        <w:rPr>
          <w:rFonts w:hint="eastAsia"/>
        </w:rPr>
      </w:pPr>
      <w:r w:rsidRPr="00677F41">
        <w:rPr>
          <w:rFonts w:hint="eastAsia"/>
        </w:rPr>
        <w:br/>
      </w:r>
      <w:bookmarkStart w:id="9" w:name="_Toc507084057"/>
      <w:bookmarkStart w:id="10" w:name="_Toc507084384"/>
      <w:bookmarkStart w:id="11" w:name="_Toc507619262"/>
      <w:r w:rsidR="00CC3606" w:rsidRPr="00677F41">
        <w:t>Response</w:t>
      </w:r>
      <w:bookmarkEnd w:id="9"/>
      <w:bookmarkEnd w:id="10"/>
      <w:bookmarkEnd w:id="11"/>
    </w:p>
    <w:p w14:paraId="271F8FB4" w14:textId="1ECA3380" w:rsidR="004A4AE8" w:rsidRPr="00B9191B" w:rsidRDefault="004A4AE8" w:rsidP="00CC3606">
      <w:pPr>
        <w:spacing w:after="0" w:line="360" w:lineRule="auto"/>
        <w:ind w:firstLine="720"/>
        <w:rPr>
          <w:rFonts w:asciiTheme="majorBidi" w:hAnsiTheme="majorBidi" w:cstheme="majorBidi"/>
        </w:rPr>
      </w:pPr>
      <w:r w:rsidRPr="00B9191B">
        <w:rPr>
          <w:rFonts w:asciiTheme="majorBidi" w:hAnsiTheme="majorBidi" w:cstheme="majorBidi"/>
        </w:rPr>
        <w:t>The District’s jurisdictional arguments are not new.</w:t>
      </w:r>
      <w:r w:rsidR="00F20903" w:rsidRPr="00B9191B">
        <w:rPr>
          <w:rStyle w:val="FootnoteReference"/>
          <w:rFonts w:asciiTheme="majorBidi" w:hAnsiTheme="majorBidi" w:cstheme="majorBidi"/>
        </w:rPr>
        <w:footnoteReference w:id="13"/>
      </w:r>
      <w:r w:rsidRPr="00B9191B">
        <w:rPr>
          <w:rFonts w:asciiTheme="majorBidi" w:hAnsiTheme="majorBidi" w:cstheme="majorBidi"/>
        </w:rPr>
        <w:t xml:space="preserve">  The Commission considered and rejected them less than a year ago</w:t>
      </w:r>
      <w:r w:rsidR="000C227C">
        <w:rPr>
          <w:rFonts w:asciiTheme="majorBidi" w:hAnsiTheme="majorBidi" w:cstheme="majorBidi"/>
        </w:rPr>
        <w:t xml:space="preserve">, concluding </w:t>
      </w:r>
      <w:r w:rsidRPr="00B9191B">
        <w:rPr>
          <w:rFonts w:asciiTheme="majorBidi" w:hAnsiTheme="majorBidi" w:cstheme="majorBidi"/>
        </w:rPr>
        <w:t>that “the plain language of both TWC § 12.013 and § 13.043 confer jurisdiction upon the Commission to consider the petitioners’ appeal and complaint” and that “this authority extends to rates set by contract.”</w:t>
      </w:r>
      <w:r w:rsidRPr="00B9191B">
        <w:rPr>
          <w:rStyle w:val="FootnoteReference"/>
          <w:rFonts w:asciiTheme="majorBidi" w:hAnsiTheme="majorBidi" w:cstheme="majorBidi"/>
        </w:rPr>
        <w:footnoteReference w:id="14"/>
      </w:r>
      <w:r w:rsidR="00A474B8" w:rsidRPr="00B9191B">
        <w:rPr>
          <w:rFonts w:asciiTheme="majorBidi" w:hAnsiTheme="majorBidi" w:cstheme="majorBidi"/>
        </w:rPr>
        <w:t xml:space="preserve">  The Commission also confirmed that “[a</w:t>
      </w:r>
      <w:r w:rsidR="00C9076D" w:rsidRPr="00B9191B">
        <w:rPr>
          <w:rFonts w:asciiTheme="majorBidi" w:hAnsiTheme="majorBidi" w:cstheme="majorBidi"/>
        </w:rPr>
        <w:t>]</w:t>
      </w:r>
      <w:r w:rsidR="00A474B8" w:rsidRPr="00B9191B">
        <w:rPr>
          <w:rFonts w:asciiTheme="majorBidi" w:hAnsiTheme="majorBidi" w:cstheme="majorBidi"/>
        </w:rPr>
        <w:t>t the end of th[e] case, whatever the outcome, the [District’s] bonds and contracts will still be valid, binding on the parties, and enforceable.”</w:t>
      </w:r>
      <w:r w:rsidR="00A474B8" w:rsidRPr="00B9191B">
        <w:rPr>
          <w:rStyle w:val="FootnoteReference"/>
          <w:rFonts w:asciiTheme="majorBidi" w:hAnsiTheme="majorBidi" w:cstheme="majorBidi"/>
        </w:rPr>
        <w:footnoteReference w:id="15"/>
      </w:r>
    </w:p>
    <w:p w14:paraId="74314C16" w14:textId="6CC415DE" w:rsidR="00954258" w:rsidRPr="00B9191B" w:rsidRDefault="00954258" w:rsidP="00CC3606">
      <w:pPr>
        <w:spacing w:after="0" w:line="360" w:lineRule="auto"/>
        <w:ind w:firstLine="720"/>
        <w:rPr>
          <w:rFonts w:asciiTheme="majorBidi" w:hAnsiTheme="majorBidi" w:cstheme="majorBidi"/>
        </w:rPr>
      </w:pPr>
      <w:r w:rsidRPr="00B9191B">
        <w:rPr>
          <w:rFonts w:asciiTheme="majorBidi" w:hAnsiTheme="majorBidi" w:cstheme="majorBidi"/>
        </w:rPr>
        <w:t>The District’s</w:t>
      </w:r>
      <w:r w:rsidR="004A4AE8" w:rsidRPr="00B9191B">
        <w:rPr>
          <w:rFonts w:asciiTheme="majorBidi" w:hAnsiTheme="majorBidi" w:cstheme="majorBidi"/>
        </w:rPr>
        <w:t xml:space="preserve"> </w:t>
      </w:r>
      <w:r w:rsidRPr="00B9191B">
        <w:rPr>
          <w:rFonts w:asciiTheme="majorBidi" w:hAnsiTheme="majorBidi" w:cstheme="majorBidi"/>
        </w:rPr>
        <w:t>argument</w:t>
      </w:r>
      <w:r w:rsidR="004A4AE8" w:rsidRPr="00B9191B">
        <w:rPr>
          <w:rFonts w:asciiTheme="majorBidi" w:hAnsiTheme="majorBidi" w:cstheme="majorBidi"/>
        </w:rPr>
        <w:t>s</w:t>
      </w:r>
      <w:r w:rsidRPr="00B9191B">
        <w:rPr>
          <w:rFonts w:asciiTheme="majorBidi" w:hAnsiTheme="majorBidi" w:cstheme="majorBidi"/>
        </w:rPr>
        <w:t xml:space="preserve"> </w:t>
      </w:r>
      <w:r w:rsidR="005B5711">
        <w:rPr>
          <w:rFonts w:asciiTheme="majorBidi" w:hAnsiTheme="majorBidi" w:cstheme="majorBidi"/>
        </w:rPr>
        <w:t>for</w:t>
      </w:r>
      <w:r w:rsidRPr="00B9191B">
        <w:rPr>
          <w:rFonts w:asciiTheme="majorBidi" w:hAnsiTheme="majorBidi" w:cstheme="majorBidi"/>
        </w:rPr>
        <w:t xml:space="preserve"> dismissal</w:t>
      </w:r>
      <w:r w:rsidR="005D396C" w:rsidRPr="00B9191B">
        <w:rPr>
          <w:rFonts w:asciiTheme="majorBidi" w:hAnsiTheme="majorBidi" w:cstheme="majorBidi"/>
        </w:rPr>
        <w:t xml:space="preserve"> of the new appeal</w:t>
      </w:r>
      <w:r w:rsidRPr="00B9191B">
        <w:rPr>
          <w:rFonts w:asciiTheme="majorBidi" w:hAnsiTheme="majorBidi" w:cstheme="majorBidi"/>
        </w:rPr>
        <w:t xml:space="preserve"> </w:t>
      </w:r>
      <w:r w:rsidR="00A4614C" w:rsidRPr="00B9191B">
        <w:rPr>
          <w:rFonts w:asciiTheme="majorBidi" w:hAnsiTheme="majorBidi" w:cstheme="majorBidi"/>
        </w:rPr>
        <w:t>continue to be</w:t>
      </w:r>
      <w:r w:rsidRPr="00B9191B">
        <w:rPr>
          <w:rFonts w:asciiTheme="majorBidi" w:hAnsiTheme="majorBidi" w:cstheme="majorBidi"/>
        </w:rPr>
        <w:t xml:space="preserve"> premised on a fallacy—that </w:t>
      </w:r>
      <w:r w:rsidR="00AE274C" w:rsidRPr="00B9191B">
        <w:rPr>
          <w:rFonts w:asciiTheme="majorBidi" w:hAnsiTheme="majorBidi" w:cstheme="majorBidi"/>
        </w:rPr>
        <w:t>an</w:t>
      </w:r>
      <w:r w:rsidRPr="00B9191B">
        <w:rPr>
          <w:rFonts w:asciiTheme="majorBidi" w:hAnsiTheme="majorBidi" w:cstheme="majorBidi"/>
        </w:rPr>
        <w:t xml:space="preserve"> administrative (and sta</w:t>
      </w:r>
      <w:r w:rsidR="005D396C" w:rsidRPr="00B9191B">
        <w:rPr>
          <w:rFonts w:asciiTheme="majorBidi" w:hAnsiTheme="majorBidi" w:cstheme="majorBidi"/>
        </w:rPr>
        <w:t>tutorily-authorized) appeal of</w:t>
      </w:r>
      <w:r w:rsidRPr="00B9191B">
        <w:rPr>
          <w:rFonts w:asciiTheme="majorBidi" w:hAnsiTheme="majorBidi" w:cstheme="majorBidi"/>
        </w:rPr>
        <w:t xml:space="preserve"> </w:t>
      </w:r>
      <w:r w:rsidR="00C9076D" w:rsidRPr="00B9191B">
        <w:rPr>
          <w:rFonts w:asciiTheme="majorBidi" w:hAnsiTheme="majorBidi" w:cstheme="majorBidi"/>
        </w:rPr>
        <w:t xml:space="preserve">contractual </w:t>
      </w:r>
      <w:r w:rsidRPr="00B9191B">
        <w:rPr>
          <w:rFonts w:asciiTheme="majorBidi" w:hAnsiTheme="majorBidi" w:cstheme="majorBidi"/>
        </w:rPr>
        <w:t>rate</w:t>
      </w:r>
      <w:r w:rsidR="005D396C" w:rsidRPr="00B9191B">
        <w:rPr>
          <w:rFonts w:asciiTheme="majorBidi" w:hAnsiTheme="majorBidi" w:cstheme="majorBidi"/>
        </w:rPr>
        <w:t>s</w:t>
      </w:r>
      <w:r w:rsidRPr="00B9191B">
        <w:rPr>
          <w:rFonts w:asciiTheme="majorBidi" w:hAnsiTheme="majorBidi" w:cstheme="majorBidi"/>
        </w:rPr>
        <w:t xml:space="preserve"> is an impermissible </w:t>
      </w:r>
      <w:r w:rsidR="005D396C" w:rsidRPr="00B9191B">
        <w:rPr>
          <w:rFonts w:asciiTheme="majorBidi" w:hAnsiTheme="majorBidi" w:cstheme="majorBidi"/>
        </w:rPr>
        <w:t>challenge to</w:t>
      </w:r>
      <w:r w:rsidR="00AE274C" w:rsidRPr="00B9191B">
        <w:rPr>
          <w:rFonts w:asciiTheme="majorBidi" w:hAnsiTheme="majorBidi" w:cstheme="majorBidi"/>
        </w:rPr>
        <w:t xml:space="preserve"> the contract</w:t>
      </w:r>
      <w:r w:rsidRPr="00B9191B">
        <w:rPr>
          <w:rFonts w:asciiTheme="majorBidi" w:hAnsiTheme="majorBidi" w:cstheme="majorBidi"/>
        </w:rPr>
        <w:t xml:space="preserve">.  Its argument is foreclosed by the </w:t>
      </w:r>
      <w:r w:rsidR="00F6116A" w:rsidRPr="00B9191B">
        <w:rPr>
          <w:rFonts w:asciiTheme="majorBidi" w:hAnsiTheme="majorBidi" w:cstheme="majorBidi"/>
        </w:rPr>
        <w:t xml:space="preserve">governing statute, </w:t>
      </w:r>
      <w:r w:rsidR="00C9076D" w:rsidRPr="00B9191B">
        <w:rPr>
          <w:rFonts w:asciiTheme="majorBidi" w:hAnsiTheme="majorBidi" w:cstheme="majorBidi"/>
        </w:rPr>
        <w:t xml:space="preserve">the </w:t>
      </w:r>
      <w:r w:rsidRPr="00B9191B">
        <w:rPr>
          <w:rFonts w:asciiTheme="majorBidi" w:hAnsiTheme="majorBidi" w:cstheme="majorBidi"/>
        </w:rPr>
        <w:t xml:space="preserve">Commission’s governing rules, the preamble to those rules, and case law that precipitated and interprets those rules, all of which </w:t>
      </w:r>
      <w:r w:rsidR="00C9076D" w:rsidRPr="00B9191B">
        <w:rPr>
          <w:rFonts w:asciiTheme="majorBidi" w:hAnsiTheme="majorBidi" w:cstheme="majorBidi"/>
        </w:rPr>
        <w:t>dictate</w:t>
      </w:r>
      <w:r w:rsidRPr="00B9191B">
        <w:rPr>
          <w:rFonts w:asciiTheme="majorBidi" w:hAnsiTheme="majorBidi" w:cstheme="majorBidi"/>
        </w:rPr>
        <w:t xml:space="preserve"> that an appea</w:t>
      </w:r>
      <w:r w:rsidR="005D396C" w:rsidRPr="00B9191B">
        <w:rPr>
          <w:rFonts w:asciiTheme="majorBidi" w:hAnsiTheme="majorBidi" w:cstheme="majorBidi"/>
        </w:rPr>
        <w:t>l of</w:t>
      </w:r>
      <w:r w:rsidRPr="00B9191B">
        <w:rPr>
          <w:rFonts w:asciiTheme="majorBidi" w:hAnsiTheme="majorBidi" w:cstheme="majorBidi"/>
        </w:rPr>
        <w:t xml:space="preserve"> </w:t>
      </w:r>
      <w:r w:rsidR="00C9076D" w:rsidRPr="00B9191B">
        <w:rPr>
          <w:rFonts w:asciiTheme="majorBidi" w:hAnsiTheme="majorBidi" w:cstheme="majorBidi"/>
        </w:rPr>
        <w:t>contractual rate</w:t>
      </w:r>
      <w:r w:rsidR="005D396C" w:rsidRPr="00B9191B">
        <w:rPr>
          <w:rFonts w:asciiTheme="majorBidi" w:hAnsiTheme="majorBidi" w:cstheme="majorBidi"/>
        </w:rPr>
        <w:t>s</w:t>
      </w:r>
      <w:r w:rsidRPr="00B9191B">
        <w:rPr>
          <w:rFonts w:asciiTheme="majorBidi" w:hAnsiTheme="majorBidi" w:cstheme="majorBidi"/>
        </w:rPr>
        <w:t xml:space="preserve"> is not a challenge to the contract.  </w:t>
      </w:r>
    </w:p>
    <w:p w14:paraId="4C47D009" w14:textId="7B0D1484" w:rsidR="00CC3606" w:rsidRPr="00B9191B" w:rsidRDefault="00AC06C8" w:rsidP="00FE5A34">
      <w:pPr>
        <w:pStyle w:val="Heading2"/>
      </w:pPr>
      <w:bookmarkStart w:id="12" w:name="_Toc507084058"/>
      <w:bookmarkStart w:id="13" w:name="_Toc507084385"/>
      <w:bookmarkStart w:id="14" w:name="_Toc507619263"/>
      <w:r w:rsidRPr="00B9191B">
        <w:lastRenderedPageBreak/>
        <w:t xml:space="preserve">Section 13.043(f) of the Texas Water Code </w:t>
      </w:r>
      <w:r w:rsidR="00F6116A" w:rsidRPr="00B9191B">
        <w:t xml:space="preserve">Authorizes the Commission to Review </w:t>
      </w:r>
      <w:bookmarkEnd w:id="12"/>
      <w:bookmarkEnd w:id="13"/>
      <w:r w:rsidR="007637C9">
        <w:t>the District’s Rates</w:t>
      </w:r>
      <w:bookmarkEnd w:id="14"/>
    </w:p>
    <w:p w14:paraId="69781177" w14:textId="5337E901" w:rsidR="00AC06C8" w:rsidRPr="00B9191B" w:rsidRDefault="00AC06C8" w:rsidP="00CC3606">
      <w:pPr>
        <w:spacing w:after="0" w:line="360" w:lineRule="auto"/>
        <w:ind w:firstLine="720"/>
        <w:rPr>
          <w:rFonts w:asciiTheme="majorBidi" w:hAnsiTheme="majorBidi" w:cstheme="majorBidi"/>
        </w:rPr>
      </w:pPr>
      <w:r w:rsidRPr="00B9191B">
        <w:rPr>
          <w:rFonts w:asciiTheme="majorBidi" w:hAnsiTheme="majorBidi" w:cstheme="majorBidi"/>
        </w:rPr>
        <w:t>Decades ago, the Texas Legislature authorized agency review of wholesale water rates under Section 13.043(f) of the Texas Water Code.</w:t>
      </w:r>
      <w:r w:rsidRPr="00B9191B">
        <w:rPr>
          <w:rStyle w:val="FootnoteReference"/>
          <w:rFonts w:asciiTheme="majorBidi" w:hAnsiTheme="majorBidi" w:cstheme="majorBidi"/>
        </w:rPr>
        <w:footnoteReference w:id="16"/>
      </w:r>
      <w:r w:rsidRPr="00B9191B">
        <w:rPr>
          <w:rFonts w:asciiTheme="majorBidi" w:hAnsiTheme="majorBidi" w:cstheme="majorBidi"/>
        </w:rPr>
        <w:t xml:space="preserve"> The Commission has been the agency charged with reviewing such rates since September 1, 2014.</w:t>
      </w:r>
      <w:r w:rsidRPr="00B9191B">
        <w:rPr>
          <w:rStyle w:val="FootnoteReference"/>
          <w:rFonts w:asciiTheme="majorBidi" w:hAnsiTheme="majorBidi" w:cstheme="majorBidi"/>
        </w:rPr>
        <w:footnoteReference w:id="17"/>
      </w:r>
      <w:r w:rsidRPr="00B9191B">
        <w:rPr>
          <w:rFonts w:asciiTheme="majorBidi" w:hAnsiTheme="majorBidi" w:cstheme="majorBidi"/>
        </w:rPr>
        <w:t xml:space="preserve">  Section 13.043(f) </w:t>
      </w:r>
      <w:r w:rsidR="00C9076D" w:rsidRPr="00B9191B">
        <w:rPr>
          <w:rFonts w:asciiTheme="majorBidi" w:hAnsiTheme="majorBidi" w:cstheme="majorBidi"/>
        </w:rPr>
        <w:t>provides</w:t>
      </w:r>
      <w:r w:rsidRPr="00B9191B">
        <w:rPr>
          <w:rFonts w:asciiTheme="majorBidi" w:hAnsiTheme="majorBidi" w:cstheme="majorBidi"/>
        </w:rPr>
        <w:t xml:space="preserve">: </w:t>
      </w:r>
    </w:p>
    <w:p w14:paraId="2862D4CC" w14:textId="3C816712" w:rsidR="00AC06C8" w:rsidRPr="00B9191B" w:rsidRDefault="00AC06C8" w:rsidP="003E4A0E">
      <w:pPr>
        <w:tabs>
          <w:tab w:val="left" w:pos="8280"/>
        </w:tabs>
        <w:spacing w:after="0"/>
        <w:ind w:left="1440" w:right="1440"/>
        <w:rPr>
          <w:rFonts w:asciiTheme="majorBidi" w:hAnsiTheme="majorBidi" w:cstheme="majorBidi"/>
        </w:rPr>
      </w:pPr>
      <w:r w:rsidRPr="00B9191B">
        <w:rPr>
          <w:rFonts w:asciiTheme="majorBidi" w:hAnsiTheme="majorBidi" w:cstheme="majorBidi"/>
        </w:rPr>
        <w:t>A retail public utility that receives water or sewer service from another retail public utility or political subdivision of the state . . . may appeal to the utility commission a decision of the provider of water or sewer service affecting the amount paid for water or sewer service.</w:t>
      </w:r>
      <w:r w:rsidRPr="00B9191B">
        <w:rPr>
          <w:rStyle w:val="FootnoteReference"/>
          <w:rFonts w:asciiTheme="majorBidi" w:hAnsiTheme="majorBidi" w:cstheme="majorBidi"/>
        </w:rPr>
        <w:footnoteReference w:id="18"/>
      </w:r>
      <w:r w:rsidRPr="00B9191B">
        <w:rPr>
          <w:rFonts w:asciiTheme="majorBidi" w:hAnsiTheme="majorBidi" w:cstheme="majorBidi"/>
        </w:rPr>
        <w:t xml:space="preserve">  </w:t>
      </w:r>
    </w:p>
    <w:p w14:paraId="4B5C0384" w14:textId="77777777" w:rsidR="00CC3606" w:rsidRPr="00B9191B" w:rsidRDefault="00CC3606" w:rsidP="003E4A0E">
      <w:pPr>
        <w:spacing w:after="0"/>
        <w:ind w:left="720" w:right="720"/>
        <w:rPr>
          <w:rFonts w:asciiTheme="majorBidi" w:hAnsiTheme="majorBidi" w:cstheme="majorBidi"/>
        </w:rPr>
      </w:pPr>
    </w:p>
    <w:p w14:paraId="728A51D3" w14:textId="7EC2C220" w:rsidR="00AC06C8" w:rsidRPr="00B9191B" w:rsidRDefault="00AC06C8" w:rsidP="003E4A0E">
      <w:pPr>
        <w:spacing w:after="0" w:line="360" w:lineRule="auto"/>
        <w:ind w:firstLine="720"/>
        <w:rPr>
          <w:rFonts w:asciiTheme="majorBidi" w:hAnsiTheme="majorBidi" w:cstheme="majorBidi"/>
        </w:rPr>
      </w:pPr>
      <w:r w:rsidRPr="00B9191B">
        <w:rPr>
          <w:rFonts w:asciiTheme="majorBidi" w:hAnsiTheme="majorBidi" w:cstheme="majorBidi"/>
        </w:rPr>
        <w:t>Pursuant to Section 1</w:t>
      </w:r>
      <w:r w:rsidR="000C227C">
        <w:rPr>
          <w:rFonts w:asciiTheme="majorBidi" w:hAnsiTheme="majorBidi" w:cstheme="majorBidi"/>
        </w:rPr>
        <w:t>3.043(f), the Petitioning Cities</w:t>
      </w:r>
      <w:r w:rsidR="00C9076D" w:rsidRPr="00B9191B">
        <w:rPr>
          <w:rFonts w:asciiTheme="majorBidi" w:hAnsiTheme="majorBidi" w:cstheme="majorBidi"/>
        </w:rPr>
        <w:t xml:space="preserve"> (each</w:t>
      </w:r>
      <w:r w:rsidR="00C93B79">
        <w:rPr>
          <w:rFonts w:asciiTheme="majorBidi" w:hAnsiTheme="majorBidi" w:cstheme="majorBidi"/>
        </w:rPr>
        <w:t>,</w:t>
      </w:r>
      <w:r w:rsidRPr="00B9191B">
        <w:rPr>
          <w:rFonts w:asciiTheme="majorBidi" w:hAnsiTheme="majorBidi" w:cstheme="majorBidi"/>
        </w:rPr>
        <w:t xml:space="preserve"> a retail public</w:t>
      </w:r>
      <w:r w:rsidR="005B5711">
        <w:rPr>
          <w:rFonts w:asciiTheme="majorBidi" w:hAnsiTheme="majorBidi" w:cstheme="majorBidi"/>
        </w:rPr>
        <w:t xml:space="preserve"> utility) have appealed the</w:t>
      </w:r>
      <w:r w:rsidRPr="00B9191B">
        <w:rPr>
          <w:rFonts w:asciiTheme="majorBidi" w:hAnsiTheme="majorBidi" w:cstheme="majorBidi"/>
        </w:rPr>
        <w:t xml:space="preserve"> District</w:t>
      </w:r>
      <w:r w:rsidR="005B5711">
        <w:rPr>
          <w:rFonts w:asciiTheme="majorBidi" w:hAnsiTheme="majorBidi" w:cstheme="majorBidi"/>
        </w:rPr>
        <w:t>’s (a political subdivision) decision</w:t>
      </w:r>
      <w:r w:rsidRPr="00B9191B">
        <w:rPr>
          <w:rFonts w:asciiTheme="majorBidi" w:hAnsiTheme="majorBidi" w:cstheme="majorBidi"/>
        </w:rPr>
        <w:t xml:space="preserve"> affecting the amount paid for water service.  On its face, Section 13.043(f) </w:t>
      </w:r>
      <w:r w:rsidR="006471AB">
        <w:rPr>
          <w:rFonts w:asciiTheme="majorBidi" w:hAnsiTheme="majorBidi" w:cstheme="majorBidi"/>
        </w:rPr>
        <w:t>authorizes</w:t>
      </w:r>
      <w:r w:rsidRPr="00B9191B">
        <w:rPr>
          <w:rFonts w:asciiTheme="majorBidi" w:hAnsiTheme="majorBidi" w:cstheme="majorBidi"/>
        </w:rPr>
        <w:t xml:space="preserve"> the Commission </w:t>
      </w:r>
      <w:r w:rsidR="00C9076D" w:rsidRPr="00B9191B">
        <w:rPr>
          <w:rFonts w:asciiTheme="majorBidi" w:hAnsiTheme="majorBidi" w:cstheme="majorBidi"/>
        </w:rPr>
        <w:t>to review the District’s rates.</w:t>
      </w:r>
    </w:p>
    <w:p w14:paraId="3F7202F0" w14:textId="4F3A9187" w:rsidR="00AC06C8" w:rsidRPr="00B9191B" w:rsidRDefault="006471AB" w:rsidP="00CC3606">
      <w:pPr>
        <w:spacing w:after="0" w:line="360" w:lineRule="auto"/>
        <w:ind w:firstLine="720"/>
        <w:rPr>
          <w:rFonts w:asciiTheme="majorBidi" w:hAnsiTheme="majorBidi" w:cstheme="majorBidi"/>
        </w:rPr>
      </w:pPr>
      <w:r>
        <w:rPr>
          <w:rFonts w:asciiTheme="majorBidi" w:hAnsiTheme="majorBidi" w:cstheme="majorBidi"/>
        </w:rPr>
        <w:t>The District claims</w:t>
      </w:r>
      <w:r w:rsidR="00AC06C8" w:rsidRPr="00B9191B">
        <w:rPr>
          <w:rFonts w:asciiTheme="majorBidi" w:hAnsiTheme="majorBidi" w:cstheme="majorBidi"/>
        </w:rPr>
        <w:t xml:space="preserve"> that the Commission lacks jurisdiction because “[t]his matter does not involve a complaint about a rate</w:t>
      </w:r>
      <w:r w:rsidR="00AE274C" w:rsidRPr="00B9191B">
        <w:rPr>
          <w:rFonts w:asciiTheme="majorBidi" w:hAnsiTheme="majorBidi" w:cstheme="majorBidi"/>
        </w:rPr>
        <w:t>.”</w:t>
      </w:r>
      <w:r w:rsidR="00C9076D" w:rsidRPr="00B9191B">
        <w:rPr>
          <w:rStyle w:val="FootnoteReference"/>
          <w:rFonts w:asciiTheme="majorBidi" w:hAnsiTheme="majorBidi" w:cstheme="majorBidi"/>
        </w:rPr>
        <w:footnoteReference w:id="19"/>
      </w:r>
      <w:r w:rsidR="00AE274C" w:rsidRPr="00B9191B">
        <w:rPr>
          <w:rFonts w:asciiTheme="majorBidi" w:hAnsiTheme="majorBidi" w:cstheme="majorBidi"/>
        </w:rPr>
        <w:t xml:space="preserve"> </w:t>
      </w:r>
      <w:r w:rsidR="00C9076D" w:rsidRPr="00B9191B">
        <w:rPr>
          <w:rFonts w:asciiTheme="majorBidi" w:hAnsiTheme="majorBidi" w:cstheme="majorBidi"/>
        </w:rPr>
        <w:t>Its</w:t>
      </w:r>
      <w:r w:rsidR="00AC06C8" w:rsidRPr="00B9191B">
        <w:rPr>
          <w:rFonts w:asciiTheme="majorBidi" w:hAnsiTheme="majorBidi" w:cstheme="majorBidi"/>
        </w:rPr>
        <w:t xml:space="preserve"> claim contradicts the petition initiating these proceedings, </w:t>
      </w:r>
      <w:r w:rsidR="00AE274C" w:rsidRPr="00B9191B">
        <w:rPr>
          <w:rFonts w:asciiTheme="majorBidi" w:hAnsiTheme="majorBidi" w:cstheme="majorBidi"/>
        </w:rPr>
        <w:t xml:space="preserve">in </w:t>
      </w:r>
      <w:r w:rsidR="00AC06C8" w:rsidRPr="00B9191B">
        <w:rPr>
          <w:rFonts w:asciiTheme="majorBidi" w:hAnsiTheme="majorBidi" w:cstheme="majorBidi"/>
        </w:rPr>
        <w:t xml:space="preserve">which </w:t>
      </w:r>
      <w:r w:rsidR="00AE274C" w:rsidRPr="00B9191B">
        <w:rPr>
          <w:rFonts w:asciiTheme="majorBidi" w:hAnsiTheme="majorBidi" w:cstheme="majorBidi"/>
        </w:rPr>
        <w:t xml:space="preserve">the Petitioning Cities </w:t>
      </w:r>
      <w:r w:rsidR="00C93B79">
        <w:rPr>
          <w:rFonts w:asciiTheme="majorBidi" w:hAnsiTheme="majorBidi" w:cstheme="majorBidi"/>
        </w:rPr>
        <w:t xml:space="preserve">expressly </w:t>
      </w:r>
      <w:r w:rsidR="00AE274C" w:rsidRPr="00B9191B">
        <w:rPr>
          <w:rFonts w:asciiTheme="majorBidi" w:hAnsiTheme="majorBidi" w:cstheme="majorBidi"/>
        </w:rPr>
        <w:t xml:space="preserve">asked the Commission “to find </w:t>
      </w:r>
      <w:r w:rsidR="00024461">
        <w:rPr>
          <w:rFonts w:asciiTheme="majorBidi" w:hAnsiTheme="majorBidi" w:cstheme="majorBidi"/>
        </w:rPr>
        <w:t xml:space="preserve">that </w:t>
      </w:r>
      <w:r w:rsidR="00AE274C" w:rsidRPr="00B9191B">
        <w:rPr>
          <w:rFonts w:asciiTheme="majorBidi" w:hAnsiTheme="majorBidi" w:cstheme="majorBidi"/>
        </w:rPr>
        <w:t>the District’s rates adversely affect the public interest, convene a cost-of-service hearing, and then set new rates consistent with the ratemaking mandates of Chapters 12 and 13 of the Texas Water Code.”</w:t>
      </w:r>
      <w:r w:rsidR="005D396C" w:rsidRPr="00B9191B">
        <w:rPr>
          <w:rStyle w:val="FootnoteReference"/>
          <w:rFonts w:asciiTheme="majorBidi" w:hAnsiTheme="majorBidi" w:cstheme="majorBidi"/>
        </w:rPr>
        <w:footnoteReference w:id="20"/>
      </w:r>
      <w:r w:rsidR="00AC06C8" w:rsidRPr="00B9191B">
        <w:rPr>
          <w:rFonts w:asciiTheme="majorBidi" w:hAnsiTheme="majorBidi" w:cstheme="majorBidi"/>
        </w:rPr>
        <w:t xml:space="preserve"> </w:t>
      </w:r>
      <w:r w:rsidR="000C227C">
        <w:rPr>
          <w:rFonts w:asciiTheme="majorBidi" w:hAnsiTheme="majorBidi" w:cstheme="majorBidi"/>
        </w:rPr>
        <w:t>It also contradicts the second sentence of the District’s Motion, where the District correctly characterized this appeal as “challenging the District’s fiscal year 2018 wholesale water rate ….”</w:t>
      </w:r>
      <w:r w:rsidR="000C227C">
        <w:rPr>
          <w:rStyle w:val="FootnoteReference"/>
          <w:rFonts w:asciiTheme="majorBidi" w:hAnsiTheme="majorBidi" w:cstheme="majorBidi"/>
        </w:rPr>
        <w:footnoteReference w:id="21"/>
      </w:r>
    </w:p>
    <w:p w14:paraId="742D230F" w14:textId="3FC2ED1B" w:rsidR="00AC06C8" w:rsidRPr="00B9191B" w:rsidRDefault="008057DF" w:rsidP="00CC3606">
      <w:pPr>
        <w:spacing w:after="0" w:line="360" w:lineRule="auto"/>
        <w:ind w:firstLine="720"/>
        <w:rPr>
          <w:rFonts w:asciiTheme="majorBidi" w:hAnsiTheme="majorBidi" w:cstheme="majorBidi"/>
        </w:rPr>
      </w:pPr>
      <w:r>
        <w:rPr>
          <w:rFonts w:asciiTheme="majorBidi" w:hAnsiTheme="majorBidi" w:cstheme="majorBidi"/>
        </w:rPr>
        <w:t>The District also claims</w:t>
      </w:r>
      <w:r w:rsidR="00AC06C8" w:rsidRPr="00B9191B">
        <w:rPr>
          <w:rFonts w:asciiTheme="majorBidi" w:hAnsiTheme="majorBidi" w:cstheme="majorBidi"/>
        </w:rPr>
        <w:t xml:space="preserve"> that</w:t>
      </w:r>
      <w:r w:rsidR="00F6116A" w:rsidRPr="00B9191B">
        <w:rPr>
          <w:rFonts w:asciiTheme="majorBidi" w:hAnsiTheme="majorBidi" w:cstheme="majorBidi"/>
        </w:rPr>
        <w:t xml:space="preserve"> the Commission lacks jurisdiction</w:t>
      </w:r>
      <w:r w:rsidR="00537D42" w:rsidRPr="00B9191B">
        <w:rPr>
          <w:rFonts w:asciiTheme="majorBidi" w:hAnsiTheme="majorBidi" w:cstheme="majorBidi"/>
        </w:rPr>
        <w:t xml:space="preserve"> </w:t>
      </w:r>
      <w:r w:rsidR="00F6116A" w:rsidRPr="00B9191B">
        <w:rPr>
          <w:rFonts w:asciiTheme="majorBidi" w:hAnsiTheme="majorBidi" w:cstheme="majorBidi"/>
        </w:rPr>
        <w:t>because</w:t>
      </w:r>
      <w:r w:rsidR="00AC06C8" w:rsidRPr="00B9191B">
        <w:rPr>
          <w:rFonts w:asciiTheme="majorBidi" w:hAnsiTheme="majorBidi" w:cstheme="majorBidi"/>
        </w:rPr>
        <w:t xml:space="preserve"> </w:t>
      </w:r>
      <w:r w:rsidR="005F1065" w:rsidRPr="00B9191B">
        <w:rPr>
          <w:rFonts w:asciiTheme="majorBidi" w:hAnsiTheme="majorBidi" w:cstheme="majorBidi"/>
        </w:rPr>
        <w:t xml:space="preserve">its enabling act makes its contract incontestable, that </w:t>
      </w:r>
      <w:r w:rsidR="00AC06C8" w:rsidRPr="00B9191B">
        <w:rPr>
          <w:rFonts w:asciiTheme="majorBidi" w:hAnsiTheme="majorBidi" w:cstheme="majorBidi"/>
        </w:rPr>
        <w:t>th</w:t>
      </w:r>
      <w:r w:rsidR="005B5711">
        <w:rPr>
          <w:rFonts w:asciiTheme="majorBidi" w:hAnsiTheme="majorBidi" w:cstheme="majorBidi"/>
        </w:rPr>
        <w:t>e</w:t>
      </w:r>
      <w:r w:rsidR="00AC06C8" w:rsidRPr="00B9191B">
        <w:rPr>
          <w:rFonts w:asciiTheme="majorBidi" w:hAnsiTheme="majorBidi" w:cstheme="majorBidi"/>
        </w:rPr>
        <w:t xml:space="preserve"> rate appea</w:t>
      </w:r>
      <w:r w:rsidR="00AE274C" w:rsidRPr="00B9191B">
        <w:rPr>
          <w:rFonts w:asciiTheme="majorBidi" w:hAnsiTheme="majorBidi" w:cstheme="majorBidi"/>
        </w:rPr>
        <w:t xml:space="preserve">l is </w:t>
      </w:r>
      <w:r w:rsidR="00AC06C8" w:rsidRPr="00B9191B">
        <w:rPr>
          <w:rFonts w:asciiTheme="majorBidi" w:hAnsiTheme="majorBidi" w:cstheme="majorBidi"/>
        </w:rPr>
        <w:t>a collateral attac</w:t>
      </w:r>
      <w:r w:rsidR="00AE274C" w:rsidRPr="00B9191B">
        <w:rPr>
          <w:rFonts w:asciiTheme="majorBidi" w:hAnsiTheme="majorBidi" w:cstheme="majorBidi"/>
        </w:rPr>
        <w:t xml:space="preserve">k on an incontestable </w:t>
      </w:r>
      <w:r w:rsidR="00AE274C" w:rsidRPr="00B9191B">
        <w:rPr>
          <w:rFonts w:asciiTheme="majorBidi" w:hAnsiTheme="majorBidi" w:cstheme="majorBidi"/>
        </w:rPr>
        <w:lastRenderedPageBreak/>
        <w:t>contract</w:t>
      </w:r>
      <w:r w:rsidR="00F20903" w:rsidRPr="00B9191B">
        <w:rPr>
          <w:rFonts w:asciiTheme="majorBidi" w:hAnsiTheme="majorBidi" w:cstheme="majorBidi"/>
        </w:rPr>
        <w:t>, and that the contract’s incontestability moots an appeal of the contract’s validity</w:t>
      </w:r>
      <w:r w:rsidR="00AE274C" w:rsidRPr="00B9191B">
        <w:rPr>
          <w:rFonts w:asciiTheme="majorBidi" w:hAnsiTheme="majorBidi" w:cstheme="majorBidi"/>
        </w:rPr>
        <w:t>.</w:t>
      </w:r>
      <w:r w:rsidR="005D396C" w:rsidRPr="00B9191B">
        <w:rPr>
          <w:rStyle w:val="FootnoteReference"/>
          <w:rFonts w:asciiTheme="majorBidi" w:hAnsiTheme="majorBidi" w:cstheme="majorBidi"/>
        </w:rPr>
        <w:footnoteReference w:id="22"/>
      </w:r>
      <w:r w:rsidR="00AC06C8" w:rsidRPr="00B9191B">
        <w:rPr>
          <w:rFonts w:asciiTheme="majorBidi" w:hAnsiTheme="majorBidi" w:cstheme="majorBidi"/>
        </w:rPr>
        <w:t xml:space="preserve">  Whether the contract is “incontestable” is irrelevant to the Commission’s statutory rate appeal jurisdiction because the appeal does not challenge the</w:t>
      </w:r>
      <w:r w:rsidR="00C9076D" w:rsidRPr="00B9191B">
        <w:rPr>
          <w:rFonts w:asciiTheme="majorBidi" w:hAnsiTheme="majorBidi" w:cstheme="majorBidi"/>
        </w:rPr>
        <w:t xml:space="preserve"> validity of the</w:t>
      </w:r>
      <w:r w:rsidR="00AC06C8" w:rsidRPr="00B9191B">
        <w:rPr>
          <w:rFonts w:asciiTheme="majorBidi" w:hAnsiTheme="majorBidi" w:cstheme="majorBidi"/>
        </w:rPr>
        <w:t xml:space="preserve"> contract</w:t>
      </w:r>
      <w:r>
        <w:rPr>
          <w:rFonts w:asciiTheme="majorBidi" w:hAnsiTheme="majorBidi" w:cstheme="majorBidi"/>
        </w:rPr>
        <w:t xml:space="preserve"> </w:t>
      </w:r>
      <w:r w:rsidR="00AC06C8" w:rsidRPr="00B9191B">
        <w:rPr>
          <w:rFonts w:asciiTheme="majorBidi" w:hAnsiTheme="majorBidi" w:cstheme="majorBidi"/>
        </w:rPr>
        <w:t xml:space="preserve">and there is no law </w:t>
      </w:r>
      <w:r w:rsidR="00BB18B9">
        <w:rPr>
          <w:rFonts w:asciiTheme="majorBidi" w:hAnsiTheme="majorBidi" w:cstheme="majorBidi"/>
        </w:rPr>
        <w:t>limiting</w:t>
      </w:r>
      <w:r w:rsidR="00AC06C8" w:rsidRPr="00B9191B">
        <w:rPr>
          <w:rFonts w:asciiTheme="majorBidi" w:hAnsiTheme="majorBidi" w:cstheme="majorBidi"/>
        </w:rPr>
        <w:t xml:space="preserve"> the Commission</w:t>
      </w:r>
      <w:r w:rsidR="00BB18B9">
        <w:rPr>
          <w:rFonts w:asciiTheme="majorBidi" w:hAnsiTheme="majorBidi" w:cstheme="majorBidi"/>
        </w:rPr>
        <w:t>’s statutory authority</w:t>
      </w:r>
      <w:r w:rsidR="00AC06C8" w:rsidRPr="00B9191B">
        <w:rPr>
          <w:rFonts w:asciiTheme="majorBidi" w:hAnsiTheme="majorBidi" w:cstheme="majorBidi"/>
        </w:rPr>
        <w:t xml:space="preserve"> </w:t>
      </w:r>
      <w:r w:rsidR="00C93B79">
        <w:rPr>
          <w:rFonts w:asciiTheme="majorBidi" w:hAnsiTheme="majorBidi" w:cstheme="majorBidi"/>
        </w:rPr>
        <w:t xml:space="preserve">only </w:t>
      </w:r>
      <w:r w:rsidR="00BB18B9">
        <w:rPr>
          <w:rFonts w:asciiTheme="majorBidi" w:hAnsiTheme="majorBidi" w:cstheme="majorBidi"/>
        </w:rPr>
        <w:t xml:space="preserve">to review of </w:t>
      </w:r>
      <w:r w:rsidR="00AC06C8" w:rsidRPr="00B9191B">
        <w:rPr>
          <w:rFonts w:asciiTheme="majorBidi" w:hAnsiTheme="majorBidi" w:cstheme="majorBidi"/>
        </w:rPr>
        <w:t xml:space="preserve">rates set pursuant to </w:t>
      </w:r>
      <w:r w:rsidR="00AC06C8" w:rsidRPr="00B9191B">
        <w:rPr>
          <w:rFonts w:asciiTheme="majorBidi" w:hAnsiTheme="majorBidi" w:cstheme="majorBidi"/>
          <w:i/>
          <w:iCs/>
        </w:rPr>
        <w:t>certain</w:t>
      </w:r>
      <w:r w:rsidR="00AC06C8" w:rsidRPr="00B9191B">
        <w:rPr>
          <w:rFonts w:asciiTheme="majorBidi" w:hAnsiTheme="majorBidi" w:cstheme="majorBidi"/>
        </w:rPr>
        <w:t xml:space="preserve"> contracts.  </w:t>
      </w:r>
    </w:p>
    <w:p w14:paraId="3E053B86" w14:textId="7D2B3735" w:rsidR="00954258" w:rsidRPr="00B9191B" w:rsidRDefault="00954258" w:rsidP="00FE5A34">
      <w:pPr>
        <w:pStyle w:val="Heading3"/>
      </w:pPr>
      <w:bookmarkStart w:id="15" w:name="_Toc507084059"/>
      <w:bookmarkStart w:id="16" w:name="_Toc507084386"/>
      <w:bookmarkStart w:id="17" w:name="_Toc507619264"/>
      <w:r w:rsidRPr="00B9191B">
        <w:t>The District, Not the Contract, Sets the Rates</w:t>
      </w:r>
      <w:bookmarkEnd w:id="15"/>
      <w:bookmarkEnd w:id="16"/>
      <w:bookmarkEnd w:id="17"/>
    </w:p>
    <w:p w14:paraId="233E6D5D" w14:textId="52A7CCFE" w:rsidR="00954258" w:rsidRPr="00B9191B" w:rsidRDefault="00954258" w:rsidP="00CC3606">
      <w:pPr>
        <w:spacing w:after="0" w:line="360" w:lineRule="auto"/>
        <w:rPr>
          <w:rFonts w:asciiTheme="majorBidi" w:hAnsiTheme="majorBidi" w:cstheme="majorBidi"/>
        </w:rPr>
      </w:pPr>
      <w:r w:rsidRPr="00B9191B">
        <w:rPr>
          <w:rFonts w:asciiTheme="majorBidi" w:hAnsiTheme="majorBidi" w:cstheme="majorBidi"/>
        </w:rPr>
        <w:tab/>
        <w:t xml:space="preserve">The </w:t>
      </w:r>
      <w:r w:rsidR="00C9076D" w:rsidRPr="00B9191B">
        <w:rPr>
          <w:rFonts w:asciiTheme="majorBidi" w:hAnsiTheme="majorBidi" w:cstheme="majorBidi"/>
        </w:rPr>
        <w:t xml:space="preserve">District’s contract contains rate setting provisions, but the District’s </w:t>
      </w:r>
      <w:r w:rsidRPr="00B9191B">
        <w:rPr>
          <w:rFonts w:asciiTheme="majorBidi" w:hAnsiTheme="majorBidi" w:cstheme="majorBidi"/>
        </w:rPr>
        <w:t xml:space="preserve">rates are not set in the </w:t>
      </w:r>
      <w:r w:rsidR="00AC1F1E">
        <w:rPr>
          <w:rFonts w:asciiTheme="majorBidi" w:hAnsiTheme="majorBidi" w:cstheme="majorBidi"/>
        </w:rPr>
        <w:t>c</w:t>
      </w:r>
      <w:r w:rsidRPr="00B9191B">
        <w:rPr>
          <w:rFonts w:asciiTheme="majorBidi" w:hAnsiTheme="majorBidi" w:cstheme="majorBidi"/>
        </w:rPr>
        <w:t>ontract.  Indeed, the Dist</w:t>
      </w:r>
      <w:r w:rsidR="00C93B79">
        <w:rPr>
          <w:rFonts w:asciiTheme="majorBidi" w:hAnsiTheme="majorBidi" w:cstheme="majorBidi"/>
        </w:rPr>
        <w:t>rict annually changes the rates</w:t>
      </w:r>
      <w:r w:rsidRPr="00B9191B">
        <w:rPr>
          <w:rFonts w:asciiTheme="majorBidi" w:hAnsiTheme="majorBidi" w:cstheme="majorBidi"/>
        </w:rPr>
        <w:t>.</w:t>
      </w:r>
      <w:r w:rsidR="00C93B79">
        <w:rPr>
          <w:rFonts w:asciiTheme="majorBidi" w:hAnsiTheme="majorBidi" w:cstheme="majorBidi"/>
        </w:rPr>
        <w:t xml:space="preserve">  </w:t>
      </w:r>
      <w:r w:rsidRPr="00B9191B">
        <w:rPr>
          <w:rFonts w:asciiTheme="majorBidi" w:hAnsiTheme="majorBidi" w:cstheme="majorBidi"/>
        </w:rPr>
        <w:t xml:space="preserve">The contract obligates the Petitioning Cities to pay the District’s operation and maintenance costs and debt service costs </w:t>
      </w:r>
      <w:r w:rsidRPr="00266AA8">
        <w:rPr>
          <w:rFonts w:asciiTheme="majorBidi" w:hAnsiTheme="majorBidi" w:cstheme="majorBidi"/>
        </w:rPr>
        <w:t>(“</w:t>
      </w:r>
      <w:r w:rsidRPr="00065622">
        <w:rPr>
          <w:rFonts w:asciiTheme="majorBidi" w:hAnsiTheme="majorBidi" w:cstheme="majorBidi"/>
        </w:rPr>
        <w:t>Annual Requirement</w:t>
      </w:r>
      <w:r w:rsidRPr="00266AA8">
        <w:rPr>
          <w:rFonts w:asciiTheme="majorBidi" w:hAnsiTheme="majorBidi" w:cstheme="majorBidi"/>
        </w:rPr>
        <w:t>”)</w:t>
      </w:r>
      <w:r w:rsidRPr="00B9191B">
        <w:rPr>
          <w:rFonts w:asciiTheme="majorBidi" w:hAnsiTheme="majorBidi" w:cstheme="majorBidi"/>
        </w:rPr>
        <w:t xml:space="preserve"> in proportionate shares.</w:t>
      </w:r>
      <w:r w:rsidR="005D396C" w:rsidRPr="00B9191B">
        <w:rPr>
          <w:rStyle w:val="FootnoteReference"/>
          <w:rFonts w:asciiTheme="majorBidi" w:hAnsiTheme="majorBidi" w:cstheme="majorBidi"/>
        </w:rPr>
        <w:footnoteReference w:id="23"/>
      </w:r>
      <w:r w:rsidRPr="00B9191B">
        <w:rPr>
          <w:rFonts w:asciiTheme="majorBidi" w:hAnsiTheme="majorBidi" w:cstheme="majorBidi"/>
        </w:rPr>
        <w:t xml:space="preserve">  The contract also reflects that the Annual Requirement will change over time: “[I]n compliance with the District’s duty to fix and from time to time revise the rates of compensation or charges for water sold and services rendered and made available by the District, the Annual Requirement will change from time to time.</w:t>
      </w:r>
      <w:r w:rsidR="00266AA8">
        <w:rPr>
          <w:rFonts w:asciiTheme="majorBidi" w:hAnsiTheme="majorBidi" w:cstheme="majorBidi"/>
        </w:rPr>
        <w:t xml:space="preserve"> . . .</w:t>
      </w:r>
      <w:r w:rsidRPr="00B9191B">
        <w:rPr>
          <w:rFonts w:asciiTheme="majorBidi" w:hAnsiTheme="majorBidi" w:cstheme="majorBidi"/>
        </w:rPr>
        <w:t>”</w:t>
      </w:r>
      <w:r w:rsidR="005D396C" w:rsidRPr="00B9191B">
        <w:rPr>
          <w:rStyle w:val="FootnoteReference"/>
          <w:rFonts w:asciiTheme="majorBidi" w:hAnsiTheme="majorBidi" w:cstheme="majorBidi"/>
        </w:rPr>
        <w:footnoteReference w:id="24"/>
      </w:r>
    </w:p>
    <w:p w14:paraId="48635AA4" w14:textId="48260EF6" w:rsidR="00954258" w:rsidRPr="00B9191B" w:rsidRDefault="00954258" w:rsidP="00CC3606">
      <w:pPr>
        <w:spacing w:after="0" w:line="360" w:lineRule="auto"/>
        <w:rPr>
          <w:rFonts w:asciiTheme="majorBidi" w:hAnsiTheme="majorBidi" w:cstheme="majorBidi"/>
        </w:rPr>
      </w:pPr>
      <w:r w:rsidRPr="00B9191B">
        <w:rPr>
          <w:rFonts w:asciiTheme="majorBidi" w:hAnsiTheme="majorBidi" w:cstheme="majorBidi"/>
        </w:rPr>
        <w:tab/>
        <w:t xml:space="preserve">The Annual Requirement drives the District’s budget, so the District sets the rate </w:t>
      </w:r>
      <w:r w:rsidRPr="00B9191B">
        <w:rPr>
          <w:rFonts w:asciiTheme="majorBidi" w:hAnsiTheme="majorBidi" w:cstheme="majorBidi"/>
          <w:i/>
          <w:iCs/>
        </w:rPr>
        <w:t>each year</w:t>
      </w:r>
      <w:r w:rsidRPr="00B9191B">
        <w:rPr>
          <w:rFonts w:asciiTheme="majorBidi" w:hAnsiTheme="majorBidi" w:cstheme="majorBidi"/>
        </w:rPr>
        <w:t xml:space="preserve"> after its budgeting process.</w:t>
      </w:r>
      <w:r w:rsidR="00327416">
        <w:rPr>
          <w:rStyle w:val="FootnoteReference"/>
          <w:rFonts w:asciiTheme="majorBidi" w:hAnsiTheme="majorBidi" w:cstheme="majorBidi"/>
        </w:rPr>
        <w:footnoteReference w:id="25"/>
      </w:r>
      <w:r w:rsidRPr="00B9191B">
        <w:rPr>
          <w:rFonts w:asciiTheme="majorBidi" w:hAnsiTheme="majorBidi" w:cstheme="majorBidi"/>
        </w:rPr>
        <w:t xml:space="preserve">  Thus, the District unilaterally </w:t>
      </w:r>
      <w:r w:rsidR="005B5711">
        <w:rPr>
          <w:rFonts w:asciiTheme="majorBidi" w:hAnsiTheme="majorBidi" w:cstheme="majorBidi"/>
        </w:rPr>
        <w:t xml:space="preserve">and annually </w:t>
      </w:r>
      <w:r w:rsidRPr="00B9191B">
        <w:rPr>
          <w:rFonts w:asciiTheme="majorBidi" w:hAnsiTheme="majorBidi" w:cstheme="majorBidi"/>
        </w:rPr>
        <w:t>sets the rates pursuant to the contract. Courts and administrative agencies, including the Commission, have confirmed both the Commission’s jurisdiction to adjudicate appeals of such rates and that those appeals are not challenges to the underlying contracts.</w:t>
      </w:r>
    </w:p>
    <w:p w14:paraId="6753C52F" w14:textId="4A65A827" w:rsidR="003E4A0E" w:rsidRPr="00B9191B" w:rsidRDefault="00954258" w:rsidP="00677F41">
      <w:pPr>
        <w:pStyle w:val="Heading3"/>
      </w:pPr>
      <w:bookmarkStart w:id="18" w:name="_Toc479288760"/>
      <w:bookmarkStart w:id="19" w:name="_Toc481155421"/>
      <w:bookmarkStart w:id="20" w:name="_Toc481155642"/>
      <w:bookmarkStart w:id="21" w:name="_Toc481172510"/>
      <w:bookmarkStart w:id="22" w:name="_Toc507084060"/>
      <w:bookmarkStart w:id="23" w:name="_Toc507084387"/>
      <w:bookmarkStart w:id="24" w:name="_Toc507619265"/>
      <w:r w:rsidRPr="00B9191B">
        <w:t xml:space="preserve">Courts Have Confirmed That an Agency’s Review of </w:t>
      </w:r>
      <w:r w:rsidR="00A42588" w:rsidRPr="00B9191B">
        <w:t>Contractual Rates</w:t>
      </w:r>
      <w:r w:rsidRPr="00B9191B">
        <w:t xml:space="preserve"> Is Not a Challenge to the Contract</w:t>
      </w:r>
      <w:bookmarkEnd w:id="18"/>
      <w:bookmarkEnd w:id="19"/>
      <w:bookmarkEnd w:id="20"/>
      <w:bookmarkEnd w:id="21"/>
      <w:bookmarkEnd w:id="22"/>
      <w:bookmarkEnd w:id="23"/>
      <w:bookmarkEnd w:id="24"/>
    </w:p>
    <w:p w14:paraId="2D408C19" w14:textId="7ABF2E92" w:rsidR="00954258" w:rsidRPr="00B9191B" w:rsidRDefault="00954258" w:rsidP="00CC3606">
      <w:pPr>
        <w:spacing w:after="0" w:line="360" w:lineRule="auto"/>
        <w:ind w:firstLine="720"/>
        <w:rPr>
          <w:rFonts w:asciiTheme="majorBidi" w:hAnsiTheme="majorBidi" w:cstheme="majorBidi"/>
        </w:rPr>
      </w:pPr>
      <w:r w:rsidRPr="00B9191B">
        <w:rPr>
          <w:rFonts w:asciiTheme="majorBidi" w:hAnsiTheme="majorBidi" w:cstheme="majorBidi"/>
        </w:rPr>
        <w:t>In the seminal case</w:t>
      </w:r>
      <w:r w:rsidR="00BB18B9">
        <w:rPr>
          <w:rFonts w:asciiTheme="majorBidi" w:hAnsiTheme="majorBidi" w:cstheme="majorBidi"/>
        </w:rPr>
        <w:t xml:space="preserve"> interpreting the governing statute</w:t>
      </w:r>
      <w:r w:rsidRPr="00B9191B">
        <w:rPr>
          <w:rFonts w:asciiTheme="majorBidi" w:hAnsiTheme="majorBidi" w:cstheme="majorBidi"/>
        </w:rPr>
        <w:t xml:space="preserve">, </w:t>
      </w:r>
      <w:r w:rsidR="00D42955" w:rsidRPr="00B9191B">
        <w:rPr>
          <w:rFonts w:asciiTheme="majorBidi" w:hAnsiTheme="majorBidi" w:cstheme="majorBidi"/>
          <w:i/>
        </w:rPr>
        <w:t>Texas Water Commission</w:t>
      </w:r>
      <w:r w:rsidRPr="00B9191B">
        <w:rPr>
          <w:rFonts w:asciiTheme="majorBidi" w:hAnsiTheme="majorBidi" w:cstheme="majorBidi"/>
          <w:i/>
        </w:rPr>
        <w:t xml:space="preserve"> v. City of Fort Worth</w:t>
      </w:r>
      <w:r w:rsidRPr="00B9191B">
        <w:rPr>
          <w:rFonts w:asciiTheme="majorBidi" w:hAnsiTheme="majorBidi" w:cstheme="majorBidi"/>
          <w:iCs/>
        </w:rPr>
        <w:t>,</w:t>
      </w:r>
      <w:r w:rsidRPr="00B9191B">
        <w:rPr>
          <w:rFonts w:asciiTheme="majorBidi" w:hAnsiTheme="majorBidi" w:cstheme="majorBidi"/>
        </w:rPr>
        <w:t xml:space="preserve"> the Third Court of Appeals held that </w:t>
      </w:r>
      <w:r w:rsidR="00E913BD" w:rsidRPr="00B9191B">
        <w:rPr>
          <w:rFonts w:asciiTheme="majorBidi" w:hAnsiTheme="majorBidi" w:cstheme="majorBidi"/>
        </w:rPr>
        <w:t>appeals</w:t>
      </w:r>
      <w:r w:rsidR="00C9076D" w:rsidRPr="00B9191B">
        <w:rPr>
          <w:rFonts w:asciiTheme="majorBidi" w:hAnsiTheme="majorBidi" w:cstheme="majorBidi"/>
        </w:rPr>
        <w:t xml:space="preserve"> of contractual rates</w:t>
      </w:r>
      <w:r w:rsidRPr="00B9191B">
        <w:rPr>
          <w:rFonts w:asciiTheme="majorBidi" w:hAnsiTheme="majorBidi" w:cstheme="majorBidi"/>
        </w:rPr>
        <w:t xml:space="preserve"> are </w:t>
      </w:r>
      <w:r w:rsidRPr="00B9191B">
        <w:rPr>
          <w:rFonts w:asciiTheme="majorBidi" w:hAnsiTheme="majorBidi" w:cstheme="majorBidi"/>
          <w:b/>
          <w:i/>
        </w:rPr>
        <w:t xml:space="preserve">not </w:t>
      </w:r>
      <w:r w:rsidRPr="00B9191B">
        <w:rPr>
          <w:rFonts w:asciiTheme="majorBidi" w:hAnsiTheme="majorBidi" w:cstheme="majorBidi"/>
        </w:rPr>
        <w:t>challenges to the underlying contract and do not affect contractual rights.</w:t>
      </w:r>
      <w:r w:rsidR="00B9191B" w:rsidRPr="00B9191B">
        <w:rPr>
          <w:rStyle w:val="FootnoteReference"/>
          <w:rFonts w:asciiTheme="majorBidi" w:hAnsiTheme="majorBidi" w:cstheme="majorBidi"/>
        </w:rPr>
        <w:footnoteReference w:id="26"/>
      </w:r>
      <w:r w:rsidRPr="00B9191B">
        <w:rPr>
          <w:rFonts w:asciiTheme="majorBidi" w:hAnsiTheme="majorBidi" w:cstheme="majorBidi"/>
        </w:rPr>
        <w:t xml:space="preserve">  There, the City of Fort Worth made arguments similar to the District’s, claiming that the Texas Water Commission could not revise a contractual rate “because Section 791.026 of the Texas Government Code … places such contract rates beyond the Commission’s jurisdiction” and that the Commission’s “review </w:t>
      </w:r>
      <w:r w:rsidRPr="00B9191B">
        <w:rPr>
          <w:rFonts w:asciiTheme="majorBidi" w:hAnsiTheme="majorBidi" w:cstheme="majorBidi"/>
        </w:rPr>
        <w:lastRenderedPageBreak/>
        <w:t>unconstitutionally interferes with [the City’s] contractual obligations.”</w:t>
      </w:r>
      <w:r w:rsidR="003E4A0E" w:rsidRPr="00B9191B">
        <w:rPr>
          <w:rStyle w:val="FootnoteReference"/>
          <w:rFonts w:asciiTheme="majorBidi" w:hAnsiTheme="majorBidi" w:cstheme="majorBidi"/>
        </w:rPr>
        <w:footnoteReference w:id="27"/>
      </w:r>
      <w:r w:rsidRPr="00B9191B">
        <w:rPr>
          <w:rFonts w:asciiTheme="majorBidi" w:hAnsiTheme="majorBidi" w:cstheme="majorBidi"/>
        </w:rPr>
        <w:t xml:space="preserve"> </w:t>
      </w:r>
      <w:r w:rsidRPr="00B9191B">
        <w:rPr>
          <w:rFonts w:asciiTheme="majorBidi" w:hAnsiTheme="majorBidi" w:cstheme="majorBidi"/>
          <w:i/>
        </w:rPr>
        <w:t xml:space="preserve"> </w:t>
      </w:r>
      <w:r w:rsidRPr="00B9191B">
        <w:rPr>
          <w:rFonts w:asciiTheme="majorBidi" w:hAnsiTheme="majorBidi" w:cstheme="majorBidi"/>
        </w:rPr>
        <w:t>The Third Court of Appeals rejected the</w:t>
      </w:r>
      <w:r w:rsidR="00C9076D" w:rsidRPr="00B9191B">
        <w:rPr>
          <w:rFonts w:asciiTheme="majorBidi" w:hAnsiTheme="majorBidi" w:cstheme="majorBidi"/>
        </w:rPr>
        <w:t>se</w:t>
      </w:r>
      <w:r w:rsidRPr="00B9191B">
        <w:rPr>
          <w:rFonts w:asciiTheme="majorBidi" w:hAnsiTheme="majorBidi" w:cstheme="majorBidi"/>
        </w:rPr>
        <w:t xml:space="preserve"> arguments and confirmed that (1) “[t]he [Texas] Water Code gives the Commission jurisdiction over contractual rates,” (2) Section 13.043(f) “does not violate the constitutional limitation on laws affecting contractual obligations,” (3) “Texas courts have reaffirmed the constitutionality of agency review of reasonableness of contractual rates where the public interest is affected,” and (4) Section 13.043(f) “does not impair any existing contractual obligation; it merely provides that the Commission may review decisions affecting water and sewer rates.”</w:t>
      </w:r>
      <w:r w:rsidR="003E4A0E" w:rsidRPr="00B9191B">
        <w:rPr>
          <w:rStyle w:val="FootnoteReference"/>
          <w:rFonts w:asciiTheme="majorBidi" w:hAnsiTheme="majorBidi" w:cstheme="majorBidi"/>
        </w:rPr>
        <w:footnoteReference w:id="28"/>
      </w:r>
      <w:r w:rsidRPr="00B9191B">
        <w:rPr>
          <w:rFonts w:asciiTheme="majorBidi" w:hAnsiTheme="majorBidi" w:cstheme="majorBidi"/>
        </w:rPr>
        <w:t xml:space="preserve">  </w:t>
      </w:r>
    </w:p>
    <w:p w14:paraId="46660D94" w14:textId="08506A21" w:rsidR="00FF561C" w:rsidRDefault="00A42588" w:rsidP="005658C6">
      <w:pPr>
        <w:spacing w:after="0" w:line="360" w:lineRule="auto"/>
        <w:ind w:firstLine="720"/>
        <w:rPr>
          <w:rFonts w:asciiTheme="majorBidi" w:hAnsiTheme="majorBidi" w:cstheme="majorBidi"/>
        </w:rPr>
      </w:pPr>
      <w:r w:rsidRPr="00B9191B">
        <w:rPr>
          <w:rFonts w:asciiTheme="majorBidi" w:hAnsiTheme="majorBidi" w:cstheme="majorBidi"/>
        </w:rPr>
        <w:t xml:space="preserve">By citation to </w:t>
      </w:r>
      <w:r w:rsidRPr="00B9191B">
        <w:rPr>
          <w:rFonts w:asciiTheme="majorBidi" w:hAnsiTheme="majorBidi" w:cstheme="majorBidi"/>
          <w:i/>
          <w:iCs/>
        </w:rPr>
        <w:t>Fort Worth</w:t>
      </w:r>
      <w:r w:rsidRPr="00B9191B">
        <w:rPr>
          <w:rFonts w:asciiTheme="majorBidi" w:hAnsiTheme="majorBidi" w:cstheme="majorBidi"/>
        </w:rPr>
        <w:t>, the District</w:t>
      </w:r>
      <w:r w:rsidR="005B5711">
        <w:rPr>
          <w:rFonts w:asciiTheme="majorBidi" w:hAnsiTheme="majorBidi" w:cstheme="majorBidi"/>
        </w:rPr>
        <w:t xml:space="preserve">’s Motion </w:t>
      </w:r>
      <w:r w:rsidR="00C93B79">
        <w:rPr>
          <w:rFonts w:asciiTheme="majorBidi" w:hAnsiTheme="majorBidi" w:cstheme="majorBidi"/>
        </w:rPr>
        <w:t>argues</w:t>
      </w:r>
      <w:r w:rsidR="005B5711">
        <w:rPr>
          <w:rFonts w:asciiTheme="majorBidi" w:hAnsiTheme="majorBidi" w:cstheme="majorBidi"/>
        </w:rPr>
        <w:t xml:space="preserve"> that</w:t>
      </w:r>
      <w:r w:rsidRPr="00B9191B">
        <w:rPr>
          <w:rFonts w:asciiTheme="majorBidi" w:hAnsiTheme="majorBidi" w:cstheme="majorBidi"/>
        </w:rPr>
        <w:t xml:space="preserve"> a finding by the Commission</w:t>
      </w:r>
      <w:r w:rsidR="00BB18B9">
        <w:rPr>
          <w:rFonts w:asciiTheme="majorBidi" w:hAnsiTheme="majorBidi" w:cstheme="majorBidi"/>
        </w:rPr>
        <w:t xml:space="preserve"> that the District’s rates adversely affect the public interest</w:t>
      </w:r>
      <w:r w:rsidRPr="00B9191B">
        <w:rPr>
          <w:rFonts w:asciiTheme="majorBidi" w:hAnsiTheme="majorBidi" w:cstheme="majorBidi"/>
        </w:rPr>
        <w:t xml:space="preserve"> would result in the contract being “set aside.”</w:t>
      </w:r>
      <w:r w:rsidR="00C9076D" w:rsidRPr="00B9191B">
        <w:rPr>
          <w:rStyle w:val="FootnoteReference"/>
          <w:rFonts w:asciiTheme="majorBidi" w:hAnsiTheme="majorBidi" w:cstheme="majorBidi"/>
        </w:rPr>
        <w:footnoteReference w:id="29"/>
      </w:r>
      <w:r w:rsidRPr="00B9191B">
        <w:rPr>
          <w:rFonts w:asciiTheme="majorBidi" w:hAnsiTheme="majorBidi" w:cstheme="majorBidi"/>
        </w:rPr>
        <w:t xml:space="preserve">  But that’s </w:t>
      </w:r>
      <w:r w:rsidR="00C9076D" w:rsidRPr="00B9191B">
        <w:rPr>
          <w:rFonts w:asciiTheme="majorBidi" w:hAnsiTheme="majorBidi" w:cstheme="majorBidi"/>
        </w:rPr>
        <w:t xml:space="preserve">not </w:t>
      </w:r>
      <w:r w:rsidRPr="00B9191B">
        <w:rPr>
          <w:rFonts w:asciiTheme="majorBidi" w:hAnsiTheme="majorBidi" w:cstheme="majorBidi"/>
        </w:rPr>
        <w:t xml:space="preserve">what </w:t>
      </w:r>
      <w:r w:rsidRPr="00B9191B">
        <w:rPr>
          <w:rFonts w:asciiTheme="majorBidi" w:hAnsiTheme="majorBidi" w:cstheme="majorBidi"/>
          <w:i/>
          <w:iCs/>
        </w:rPr>
        <w:t>Fort Worth</w:t>
      </w:r>
      <w:r w:rsidR="00BB18B9">
        <w:rPr>
          <w:rFonts w:asciiTheme="majorBidi" w:hAnsiTheme="majorBidi" w:cstheme="majorBidi"/>
        </w:rPr>
        <w:t xml:space="preserve"> says.  Although t</w:t>
      </w:r>
      <w:r w:rsidRPr="00B9191B">
        <w:rPr>
          <w:rFonts w:asciiTheme="majorBidi" w:hAnsiTheme="majorBidi" w:cstheme="majorBidi"/>
        </w:rPr>
        <w:t xml:space="preserve">hat </w:t>
      </w:r>
      <w:r w:rsidR="00B9191B" w:rsidRPr="00B9191B">
        <w:rPr>
          <w:rFonts w:asciiTheme="majorBidi" w:hAnsiTheme="majorBidi" w:cstheme="majorBidi"/>
        </w:rPr>
        <w:t>outcome is discussed</w:t>
      </w:r>
      <w:r w:rsidRPr="00B9191B">
        <w:rPr>
          <w:rFonts w:asciiTheme="majorBidi" w:hAnsiTheme="majorBidi" w:cstheme="majorBidi"/>
        </w:rPr>
        <w:t xml:space="preserve"> in </w:t>
      </w:r>
      <w:r w:rsidR="00954258" w:rsidRPr="00B9191B">
        <w:rPr>
          <w:rFonts w:asciiTheme="majorBidi" w:hAnsiTheme="majorBidi" w:cstheme="majorBidi"/>
          <w:i/>
        </w:rPr>
        <w:t>High Plains Natural Gas Company v. Railroad Commission of Texas</w:t>
      </w:r>
      <w:r w:rsidR="00E913BD" w:rsidRPr="00B9191B">
        <w:rPr>
          <w:rFonts w:asciiTheme="majorBidi" w:hAnsiTheme="majorBidi" w:cstheme="majorBidi"/>
          <w:i/>
        </w:rPr>
        <w:t>,</w:t>
      </w:r>
      <w:r w:rsidR="00BB18B9">
        <w:rPr>
          <w:rFonts w:asciiTheme="majorBidi" w:hAnsiTheme="majorBidi" w:cstheme="majorBidi"/>
        </w:rPr>
        <w:t xml:space="preserve"> t</w:t>
      </w:r>
      <w:r w:rsidR="00954258" w:rsidRPr="00B9191B">
        <w:rPr>
          <w:rFonts w:asciiTheme="majorBidi" w:hAnsiTheme="majorBidi" w:cstheme="majorBidi"/>
        </w:rPr>
        <w:t>here the statute in question gave the Railroad Commission the power to “review, revise, and regulate all orders and agreements of companies that set gas pipeline rates.”</w:t>
      </w:r>
      <w:r w:rsidRPr="00B9191B">
        <w:rPr>
          <w:rStyle w:val="FootnoteReference"/>
          <w:rFonts w:asciiTheme="majorBidi" w:hAnsiTheme="majorBidi" w:cstheme="majorBidi"/>
        </w:rPr>
        <w:footnoteReference w:id="30"/>
      </w:r>
      <w:r w:rsidR="00954258" w:rsidRPr="00B9191B">
        <w:rPr>
          <w:rFonts w:asciiTheme="majorBidi" w:hAnsiTheme="majorBidi" w:cstheme="majorBidi"/>
        </w:rPr>
        <w:t xml:space="preserve">  The </w:t>
      </w:r>
      <w:r w:rsidR="00954258" w:rsidRPr="00B9191B">
        <w:rPr>
          <w:rFonts w:asciiTheme="majorBidi" w:hAnsiTheme="majorBidi" w:cstheme="majorBidi"/>
          <w:i/>
        </w:rPr>
        <w:t>Fort Worth</w:t>
      </w:r>
      <w:r w:rsidR="00E913BD" w:rsidRPr="00B9191B">
        <w:rPr>
          <w:rFonts w:asciiTheme="majorBidi" w:hAnsiTheme="majorBidi" w:cstheme="majorBidi"/>
          <w:i/>
        </w:rPr>
        <w:t xml:space="preserve"> </w:t>
      </w:r>
      <w:r w:rsidR="00954258" w:rsidRPr="00B9191B">
        <w:rPr>
          <w:rFonts w:asciiTheme="majorBidi" w:hAnsiTheme="majorBidi" w:cstheme="majorBidi"/>
        </w:rPr>
        <w:t>c</w:t>
      </w:r>
      <w:r w:rsidR="00FF561C">
        <w:rPr>
          <w:rFonts w:asciiTheme="majorBidi" w:hAnsiTheme="majorBidi" w:cstheme="majorBidi"/>
        </w:rPr>
        <w:t xml:space="preserve">ourt actually distinguished </w:t>
      </w:r>
      <w:r w:rsidR="00954258" w:rsidRPr="00B9191B">
        <w:rPr>
          <w:rFonts w:asciiTheme="majorBidi" w:hAnsiTheme="majorBidi" w:cstheme="majorBidi"/>
          <w:i/>
        </w:rPr>
        <w:t>High Plains</w:t>
      </w:r>
      <w:r w:rsidR="00C9076D" w:rsidRPr="00B9191B">
        <w:rPr>
          <w:rFonts w:asciiTheme="majorBidi" w:hAnsiTheme="majorBidi" w:cstheme="majorBidi"/>
        </w:rPr>
        <w:t>.</w:t>
      </w:r>
      <w:r w:rsidR="00D42955" w:rsidRPr="00B9191B">
        <w:rPr>
          <w:rStyle w:val="FootnoteReference"/>
          <w:rFonts w:asciiTheme="majorBidi" w:hAnsiTheme="majorBidi" w:cstheme="majorBidi"/>
        </w:rPr>
        <w:footnoteReference w:id="31"/>
      </w:r>
      <w:r w:rsidR="00954258" w:rsidRPr="00B9191B">
        <w:rPr>
          <w:rFonts w:asciiTheme="majorBidi" w:hAnsiTheme="majorBidi" w:cstheme="majorBidi"/>
        </w:rPr>
        <w:t xml:space="preserve"> </w:t>
      </w:r>
    </w:p>
    <w:p w14:paraId="253DB3DF" w14:textId="1C1A11C3" w:rsidR="00306562" w:rsidRPr="008A766D" w:rsidRDefault="00BB18B9" w:rsidP="008A766D">
      <w:pPr>
        <w:spacing w:after="0" w:line="360" w:lineRule="auto"/>
        <w:ind w:firstLine="720"/>
        <w:rPr>
          <w:rFonts w:asciiTheme="majorBidi" w:hAnsiTheme="majorBidi" w:cstheme="majorBidi"/>
        </w:rPr>
      </w:pPr>
      <w:r>
        <w:rPr>
          <w:rFonts w:asciiTheme="majorBidi" w:hAnsiTheme="majorBidi" w:cstheme="majorBidi"/>
        </w:rPr>
        <w:t>Without citation, t</w:t>
      </w:r>
      <w:r w:rsidR="005658C6" w:rsidRPr="00B9191B">
        <w:rPr>
          <w:rFonts w:asciiTheme="majorBidi" w:hAnsiTheme="majorBidi" w:cstheme="majorBidi"/>
        </w:rPr>
        <w:t>he District</w:t>
      </w:r>
      <w:r w:rsidR="005B5711">
        <w:rPr>
          <w:rFonts w:asciiTheme="majorBidi" w:hAnsiTheme="majorBidi" w:cstheme="majorBidi"/>
        </w:rPr>
        <w:t>’s Motion</w:t>
      </w:r>
      <w:r w:rsidR="005658C6" w:rsidRPr="00B9191B">
        <w:rPr>
          <w:rFonts w:asciiTheme="majorBidi" w:hAnsiTheme="majorBidi" w:cstheme="majorBidi"/>
        </w:rPr>
        <w:t xml:space="preserve"> </w:t>
      </w:r>
      <w:r w:rsidR="00FF561C">
        <w:rPr>
          <w:rFonts w:asciiTheme="majorBidi" w:hAnsiTheme="majorBidi" w:cstheme="majorBidi"/>
        </w:rPr>
        <w:t xml:space="preserve">also </w:t>
      </w:r>
      <w:r w:rsidR="00C93B79">
        <w:rPr>
          <w:rFonts w:asciiTheme="majorBidi" w:hAnsiTheme="majorBidi" w:cstheme="majorBidi"/>
        </w:rPr>
        <w:t>alleges</w:t>
      </w:r>
      <w:r w:rsidR="00FF561C">
        <w:rPr>
          <w:rFonts w:asciiTheme="majorBidi" w:hAnsiTheme="majorBidi" w:cstheme="majorBidi"/>
        </w:rPr>
        <w:t xml:space="preserve"> that </w:t>
      </w:r>
      <w:r w:rsidR="00FF561C" w:rsidRPr="00B9191B">
        <w:rPr>
          <w:rFonts w:asciiTheme="majorBidi" w:hAnsiTheme="majorBidi" w:cstheme="majorBidi"/>
        </w:rPr>
        <w:t>“the Commission’s wholesale rate authority does not extend to any and all contractual rates.”</w:t>
      </w:r>
      <w:r w:rsidR="00FF561C" w:rsidRPr="00B9191B">
        <w:rPr>
          <w:rStyle w:val="FootnoteReference"/>
          <w:rFonts w:asciiTheme="majorBidi" w:hAnsiTheme="majorBidi" w:cstheme="majorBidi"/>
        </w:rPr>
        <w:footnoteReference w:id="32"/>
      </w:r>
      <w:r w:rsidR="00FF561C">
        <w:rPr>
          <w:rFonts w:asciiTheme="majorBidi" w:hAnsiTheme="majorBidi" w:cstheme="majorBidi"/>
        </w:rPr>
        <w:t xml:space="preserve">  But that contradicts </w:t>
      </w:r>
      <w:r w:rsidR="00FF561C" w:rsidRPr="00FF561C">
        <w:rPr>
          <w:rFonts w:asciiTheme="majorBidi" w:hAnsiTheme="majorBidi" w:cstheme="majorBidi"/>
          <w:i/>
          <w:iCs/>
        </w:rPr>
        <w:t>Fort Worth</w:t>
      </w:r>
      <w:r w:rsidR="00FF561C">
        <w:rPr>
          <w:rFonts w:asciiTheme="majorBidi" w:hAnsiTheme="majorBidi" w:cstheme="majorBidi"/>
        </w:rPr>
        <w:t xml:space="preserve">, where the court held that Section 13.043(f) </w:t>
      </w:r>
      <w:r w:rsidR="00FF561C" w:rsidRPr="00B9191B">
        <w:rPr>
          <w:rFonts w:asciiTheme="majorBidi" w:hAnsiTheme="majorBidi" w:cstheme="majorBidi"/>
        </w:rPr>
        <w:t xml:space="preserve">“expressly authorizes the Commission to review </w:t>
      </w:r>
      <w:r w:rsidR="00FF561C" w:rsidRPr="00B9191B">
        <w:rPr>
          <w:rFonts w:asciiTheme="majorBidi" w:hAnsiTheme="majorBidi" w:cstheme="majorBidi"/>
          <w:i/>
          <w:iCs/>
        </w:rPr>
        <w:t>any</w:t>
      </w:r>
      <w:r w:rsidR="00FF561C" w:rsidRPr="00B9191B">
        <w:rPr>
          <w:rFonts w:asciiTheme="majorBidi" w:hAnsiTheme="majorBidi" w:cstheme="majorBidi"/>
        </w:rPr>
        <w:t xml:space="preserve"> </w:t>
      </w:r>
      <w:r w:rsidR="00FF561C" w:rsidRPr="00B9191B">
        <w:rPr>
          <w:rFonts w:asciiTheme="majorBidi" w:hAnsiTheme="majorBidi" w:cstheme="majorBidi"/>
        </w:rPr>
        <w:lastRenderedPageBreak/>
        <w:t>decision of a provider that affects the amount a recipient public utility pays for service.”</w:t>
      </w:r>
      <w:r w:rsidR="00FF561C" w:rsidRPr="00B9191B">
        <w:rPr>
          <w:rStyle w:val="FootnoteReference"/>
          <w:rFonts w:asciiTheme="majorBidi" w:hAnsiTheme="majorBidi" w:cstheme="majorBidi"/>
        </w:rPr>
        <w:footnoteReference w:id="33"/>
      </w:r>
      <w:r w:rsidR="00FF561C">
        <w:rPr>
          <w:rFonts w:asciiTheme="majorBidi" w:hAnsiTheme="majorBidi" w:cstheme="majorBidi"/>
          <w:i/>
          <w:iCs/>
        </w:rPr>
        <w:t xml:space="preserve">  </w:t>
      </w:r>
      <w:r w:rsidR="00FF561C" w:rsidRPr="00FF561C">
        <w:rPr>
          <w:rFonts w:asciiTheme="majorBidi" w:hAnsiTheme="majorBidi" w:cstheme="majorBidi"/>
        </w:rPr>
        <w:t>Indeed,</w:t>
      </w:r>
      <w:r w:rsidR="00FF561C">
        <w:rPr>
          <w:rFonts w:asciiTheme="majorBidi" w:hAnsiTheme="majorBidi" w:cstheme="majorBidi"/>
          <w:i/>
          <w:iCs/>
        </w:rPr>
        <w:t xml:space="preserve"> </w:t>
      </w:r>
      <w:r w:rsidR="00E913BD" w:rsidRPr="00B9191B">
        <w:rPr>
          <w:rFonts w:asciiTheme="majorBidi" w:hAnsiTheme="majorBidi" w:cstheme="majorBidi"/>
          <w:i/>
        </w:rPr>
        <w:t>Fort Worth’</w:t>
      </w:r>
      <w:r w:rsidR="00954258" w:rsidRPr="00B9191B">
        <w:rPr>
          <w:rFonts w:asciiTheme="majorBidi" w:hAnsiTheme="majorBidi" w:cstheme="majorBidi"/>
        </w:rPr>
        <w:t>s central holding is that Section 13.043(f) “does not impair any existing contractual obligation; it merely provides that the Commission may review decisions affecting water and sewer rates.”</w:t>
      </w:r>
      <w:r w:rsidR="003E4A0E" w:rsidRPr="00B9191B">
        <w:rPr>
          <w:rStyle w:val="FootnoteReference"/>
          <w:rFonts w:asciiTheme="majorBidi" w:hAnsiTheme="majorBidi" w:cstheme="majorBidi"/>
        </w:rPr>
        <w:footnoteReference w:id="34"/>
      </w:r>
      <w:r w:rsidR="00954258" w:rsidRPr="00B9191B">
        <w:rPr>
          <w:rFonts w:asciiTheme="majorBidi" w:hAnsiTheme="majorBidi" w:cstheme="majorBidi"/>
        </w:rPr>
        <w:t xml:space="preserve">  </w:t>
      </w:r>
      <w:r w:rsidR="00A4614C" w:rsidRPr="00B9191B">
        <w:rPr>
          <w:rFonts w:asciiTheme="majorBidi" w:hAnsiTheme="majorBidi" w:cstheme="majorBidi"/>
        </w:rPr>
        <w:t>The Commission’s confirmation of its jurisdiction over the District’s rates in Docket No. 46662—</w:t>
      </w:r>
      <w:r w:rsidR="00C9076D" w:rsidRPr="00B9191B">
        <w:rPr>
          <w:rFonts w:asciiTheme="majorBidi" w:hAnsiTheme="majorBidi" w:cstheme="majorBidi"/>
        </w:rPr>
        <w:t>where</w:t>
      </w:r>
      <w:r w:rsidR="00A4614C" w:rsidRPr="00B9191B">
        <w:rPr>
          <w:rFonts w:asciiTheme="majorBidi" w:hAnsiTheme="majorBidi" w:cstheme="majorBidi"/>
        </w:rPr>
        <w:t xml:space="preserve"> the Commission stated that it “does not agree that the provisions of the district’s [enabling act] … and other law that prohibit a contest of the district’s bonds and pledged contracts supersede or render ineffective provisions of either TWC § 12.013 or § 13.043 that authorize the Commission to hear this appeal and complaint”</w:t>
      </w:r>
      <w:r w:rsidR="00A4614C" w:rsidRPr="00B9191B">
        <w:rPr>
          <w:rStyle w:val="FootnoteReference"/>
          <w:rFonts w:asciiTheme="majorBidi" w:hAnsiTheme="majorBidi" w:cstheme="majorBidi"/>
        </w:rPr>
        <w:footnoteReference w:id="35"/>
      </w:r>
      <w:r w:rsidR="005B5711">
        <w:rPr>
          <w:rFonts w:asciiTheme="majorBidi" w:hAnsiTheme="majorBidi" w:cstheme="majorBidi"/>
        </w:rPr>
        <w:t>—was and i</w:t>
      </w:r>
      <w:r w:rsidR="00A4614C" w:rsidRPr="00B9191B">
        <w:rPr>
          <w:rFonts w:asciiTheme="majorBidi" w:hAnsiTheme="majorBidi" w:cstheme="majorBidi"/>
        </w:rPr>
        <w:t xml:space="preserve">s consistent with </w:t>
      </w:r>
      <w:r w:rsidR="00A4614C" w:rsidRPr="00B9191B">
        <w:rPr>
          <w:rFonts w:asciiTheme="majorBidi" w:hAnsiTheme="majorBidi" w:cstheme="majorBidi"/>
          <w:i/>
          <w:iCs/>
        </w:rPr>
        <w:t>Fort Worth</w:t>
      </w:r>
      <w:r w:rsidR="00A4614C" w:rsidRPr="00B9191B">
        <w:rPr>
          <w:rFonts w:asciiTheme="majorBidi" w:hAnsiTheme="majorBidi" w:cstheme="majorBidi"/>
        </w:rPr>
        <w:t>.</w:t>
      </w:r>
    </w:p>
    <w:p w14:paraId="5AAE8974" w14:textId="7265147D" w:rsidR="00954258" w:rsidRPr="00B9191B" w:rsidRDefault="00954258" w:rsidP="00FE5A34">
      <w:pPr>
        <w:pStyle w:val="Heading3"/>
        <w:rPr>
          <w:i/>
        </w:rPr>
      </w:pPr>
      <w:bookmarkStart w:id="25" w:name="_Toc479288761"/>
      <w:bookmarkStart w:id="26" w:name="_Toc481155422"/>
      <w:bookmarkStart w:id="27" w:name="_Toc481155643"/>
      <w:bookmarkStart w:id="28" w:name="_Toc481172511"/>
      <w:bookmarkStart w:id="29" w:name="_Toc507084061"/>
      <w:bookmarkStart w:id="30" w:name="_Toc507084388"/>
      <w:bookmarkStart w:id="31" w:name="_Toc507619266"/>
      <w:r w:rsidRPr="00B9191B">
        <w:t>In the Preamble to the Rules</w:t>
      </w:r>
      <w:r w:rsidR="00C9076D" w:rsidRPr="00B9191B">
        <w:t xml:space="preserve"> Governing This Appeal</w:t>
      </w:r>
      <w:r w:rsidRPr="00B9191B">
        <w:t>, the Texas Water Commission Confirmed That Review of Rates Set Pursuant to a Contract Is Not a Challenge to the Contract</w:t>
      </w:r>
      <w:bookmarkEnd w:id="25"/>
      <w:bookmarkEnd w:id="26"/>
      <w:bookmarkEnd w:id="27"/>
      <w:bookmarkEnd w:id="28"/>
      <w:bookmarkEnd w:id="29"/>
      <w:bookmarkEnd w:id="30"/>
      <w:bookmarkEnd w:id="31"/>
    </w:p>
    <w:p w14:paraId="2145648B" w14:textId="7442D553" w:rsidR="00954258" w:rsidRPr="00B9191B" w:rsidRDefault="00954258" w:rsidP="00CC3606">
      <w:pPr>
        <w:spacing w:after="0" w:line="360" w:lineRule="auto"/>
        <w:ind w:firstLine="720"/>
        <w:rPr>
          <w:rFonts w:asciiTheme="majorBidi" w:hAnsiTheme="majorBidi" w:cstheme="majorBidi"/>
        </w:rPr>
      </w:pPr>
      <w:r w:rsidRPr="00B9191B">
        <w:rPr>
          <w:rFonts w:asciiTheme="majorBidi" w:hAnsiTheme="majorBidi" w:cstheme="majorBidi"/>
        </w:rPr>
        <w:t xml:space="preserve">In the wake of </w:t>
      </w:r>
      <w:r w:rsidR="00780D3C">
        <w:rPr>
          <w:rFonts w:asciiTheme="majorBidi" w:hAnsiTheme="majorBidi" w:cstheme="majorBidi"/>
        </w:rPr>
        <w:t xml:space="preserve">the </w:t>
      </w:r>
      <w:r w:rsidRPr="00B9191B">
        <w:rPr>
          <w:rFonts w:asciiTheme="majorBidi" w:hAnsiTheme="majorBidi" w:cstheme="majorBidi"/>
          <w:i/>
        </w:rPr>
        <w:t>Fort Worth</w:t>
      </w:r>
      <w:r w:rsidR="00780D3C">
        <w:rPr>
          <w:rFonts w:asciiTheme="majorBidi" w:hAnsiTheme="majorBidi" w:cstheme="majorBidi"/>
          <w:i/>
        </w:rPr>
        <w:t xml:space="preserve"> </w:t>
      </w:r>
      <w:r w:rsidR="00780D3C" w:rsidRPr="00780D3C">
        <w:rPr>
          <w:rFonts w:asciiTheme="majorBidi" w:hAnsiTheme="majorBidi" w:cstheme="majorBidi"/>
        </w:rPr>
        <w:t>case</w:t>
      </w:r>
      <w:r w:rsidRPr="00B9191B">
        <w:rPr>
          <w:rFonts w:asciiTheme="majorBidi" w:hAnsiTheme="majorBidi" w:cstheme="majorBidi"/>
        </w:rPr>
        <w:t>, the Texas Wa</w:t>
      </w:r>
      <w:r w:rsidR="00AE274C" w:rsidRPr="00B9191B">
        <w:rPr>
          <w:rFonts w:asciiTheme="majorBidi" w:hAnsiTheme="majorBidi" w:cstheme="majorBidi"/>
        </w:rPr>
        <w:t>ter Commission promulgated the r</w:t>
      </w:r>
      <w:r w:rsidRPr="00B9191B">
        <w:rPr>
          <w:rFonts w:asciiTheme="majorBidi" w:hAnsiTheme="majorBidi" w:cstheme="majorBidi"/>
        </w:rPr>
        <w:t>ules</w:t>
      </w:r>
      <w:r w:rsidR="00AE274C" w:rsidRPr="00B9191B">
        <w:rPr>
          <w:rFonts w:asciiTheme="majorBidi" w:hAnsiTheme="majorBidi" w:cstheme="majorBidi"/>
        </w:rPr>
        <w:t xml:space="preserve"> </w:t>
      </w:r>
      <w:r w:rsidR="00F6116A" w:rsidRPr="00B9191B">
        <w:rPr>
          <w:rFonts w:asciiTheme="majorBidi" w:hAnsiTheme="majorBidi" w:cstheme="majorBidi"/>
        </w:rPr>
        <w:t xml:space="preserve">governing </w:t>
      </w:r>
      <w:r w:rsidR="00F61BD3">
        <w:rPr>
          <w:rFonts w:asciiTheme="majorBidi" w:hAnsiTheme="majorBidi" w:cstheme="majorBidi"/>
        </w:rPr>
        <w:t>this</w:t>
      </w:r>
      <w:r w:rsidR="00F6116A" w:rsidRPr="00B9191B">
        <w:rPr>
          <w:rFonts w:asciiTheme="majorBidi" w:hAnsiTheme="majorBidi" w:cstheme="majorBidi"/>
        </w:rPr>
        <w:t xml:space="preserve"> rate appeal</w:t>
      </w:r>
      <w:r w:rsidRPr="00B9191B">
        <w:rPr>
          <w:rFonts w:asciiTheme="majorBidi" w:hAnsiTheme="majorBidi" w:cstheme="majorBidi"/>
        </w:rPr>
        <w:t xml:space="preserve">.  </w:t>
      </w:r>
      <w:r w:rsidR="00BB18B9">
        <w:rPr>
          <w:rFonts w:asciiTheme="majorBidi" w:hAnsiTheme="majorBidi" w:cstheme="majorBidi"/>
        </w:rPr>
        <w:t>The</w:t>
      </w:r>
      <w:r w:rsidRPr="00B9191B">
        <w:rPr>
          <w:rFonts w:asciiTheme="majorBidi" w:hAnsiTheme="majorBidi" w:cstheme="majorBidi"/>
        </w:rPr>
        <w:t xml:space="preserve"> </w:t>
      </w:r>
      <w:r w:rsidR="003E4A0E" w:rsidRPr="00B9191B">
        <w:rPr>
          <w:rFonts w:asciiTheme="majorBidi" w:hAnsiTheme="majorBidi" w:cstheme="majorBidi"/>
        </w:rPr>
        <w:t>r</w:t>
      </w:r>
      <w:r w:rsidRPr="00B9191B">
        <w:rPr>
          <w:rFonts w:asciiTheme="majorBidi" w:hAnsiTheme="majorBidi" w:cstheme="majorBidi"/>
        </w:rPr>
        <w:t xml:space="preserve">ules require a two-phase hearing process when, as here, a rate charged pursuant to a contract is appealed.  The initial phase of the appeal is “an evidentiary hearing on public interest to determine whether </w:t>
      </w:r>
      <w:r w:rsidRPr="005B5711">
        <w:rPr>
          <w:rFonts w:asciiTheme="majorBidi" w:hAnsiTheme="majorBidi" w:cstheme="majorBidi"/>
          <w:iCs/>
        </w:rPr>
        <w:t xml:space="preserve">the protested rate </w:t>
      </w:r>
      <w:r w:rsidRPr="00B9191B">
        <w:rPr>
          <w:rFonts w:asciiTheme="majorBidi" w:hAnsiTheme="majorBidi" w:cstheme="majorBidi"/>
        </w:rPr>
        <w:t>adversely affects the public interest.”</w:t>
      </w:r>
      <w:r w:rsidR="003E4A0E" w:rsidRPr="00B9191B">
        <w:rPr>
          <w:rStyle w:val="FootnoteReference"/>
          <w:rFonts w:asciiTheme="majorBidi" w:hAnsiTheme="majorBidi" w:cstheme="majorBidi"/>
        </w:rPr>
        <w:footnoteReference w:id="36"/>
      </w:r>
      <w:r w:rsidRPr="00B9191B">
        <w:rPr>
          <w:rFonts w:asciiTheme="majorBidi" w:hAnsiTheme="majorBidi" w:cstheme="majorBidi"/>
        </w:rPr>
        <w:t xml:space="preserve">  Only after determining that the rate adversely affects the public interest will the </w:t>
      </w:r>
      <w:r w:rsidR="00F209AB">
        <w:rPr>
          <w:rFonts w:asciiTheme="majorBidi" w:hAnsiTheme="majorBidi" w:cstheme="majorBidi"/>
        </w:rPr>
        <w:t>Commission</w:t>
      </w:r>
      <w:r w:rsidRPr="00B9191B">
        <w:rPr>
          <w:rFonts w:asciiTheme="majorBidi" w:hAnsiTheme="majorBidi" w:cstheme="majorBidi"/>
        </w:rPr>
        <w:t xml:space="preserve"> remand the appeal to </w:t>
      </w:r>
      <w:r w:rsidR="00C9076D" w:rsidRPr="00B9191B">
        <w:rPr>
          <w:rFonts w:asciiTheme="majorBidi" w:hAnsiTheme="majorBidi" w:cstheme="majorBidi"/>
        </w:rPr>
        <w:t>SOAH</w:t>
      </w:r>
      <w:r w:rsidRPr="00B9191B">
        <w:rPr>
          <w:rFonts w:asciiTheme="majorBidi" w:hAnsiTheme="majorBidi" w:cstheme="majorBidi"/>
        </w:rPr>
        <w:t xml:space="preserve"> “for further evidentiary proceedings on the rate,”</w:t>
      </w:r>
      <w:r w:rsidR="003E4A0E" w:rsidRPr="00B9191B">
        <w:rPr>
          <w:rStyle w:val="FootnoteReference"/>
          <w:rFonts w:asciiTheme="majorBidi" w:hAnsiTheme="majorBidi" w:cstheme="majorBidi"/>
        </w:rPr>
        <w:footnoteReference w:id="37"/>
      </w:r>
      <w:r w:rsidRPr="00B9191B">
        <w:rPr>
          <w:rFonts w:asciiTheme="majorBidi" w:hAnsiTheme="majorBidi" w:cstheme="majorBidi"/>
        </w:rPr>
        <w:t xml:space="preserve"> after which the </w:t>
      </w:r>
      <w:r w:rsidR="00F209AB">
        <w:rPr>
          <w:rFonts w:asciiTheme="majorBidi" w:hAnsiTheme="majorBidi" w:cstheme="majorBidi"/>
        </w:rPr>
        <w:t>Commission</w:t>
      </w:r>
      <w:r w:rsidRPr="00B9191B">
        <w:rPr>
          <w:rFonts w:asciiTheme="majorBidi" w:hAnsiTheme="majorBidi" w:cstheme="majorBidi"/>
        </w:rPr>
        <w:t xml:space="preserve"> must “set a rate consistent with the ratemaking mandates of [Texas Water Code], Chapters 12 and 13.”</w:t>
      </w:r>
      <w:r w:rsidR="003E4A0E" w:rsidRPr="00B9191B">
        <w:rPr>
          <w:rStyle w:val="FootnoteReference"/>
          <w:rFonts w:asciiTheme="majorBidi" w:hAnsiTheme="majorBidi" w:cstheme="majorBidi"/>
        </w:rPr>
        <w:footnoteReference w:id="38"/>
      </w:r>
      <w:r w:rsidRPr="00B9191B">
        <w:rPr>
          <w:rFonts w:asciiTheme="majorBidi" w:hAnsiTheme="majorBidi" w:cstheme="majorBidi"/>
        </w:rPr>
        <w:t xml:space="preserve">  </w:t>
      </w:r>
    </w:p>
    <w:p w14:paraId="157326AD" w14:textId="4B6DE58E" w:rsidR="00954258" w:rsidRPr="00B9191B" w:rsidRDefault="00BB18B9" w:rsidP="00BB18B9">
      <w:pPr>
        <w:spacing w:after="0" w:line="360" w:lineRule="auto"/>
        <w:ind w:firstLine="720"/>
        <w:rPr>
          <w:rFonts w:asciiTheme="majorBidi" w:hAnsiTheme="majorBidi" w:cstheme="majorBidi"/>
        </w:rPr>
      </w:pPr>
      <w:r>
        <w:rPr>
          <w:rFonts w:asciiTheme="majorBidi" w:hAnsiTheme="majorBidi" w:cstheme="majorBidi"/>
        </w:rPr>
        <w:t>I</w:t>
      </w:r>
      <w:r w:rsidRPr="00B9191B">
        <w:rPr>
          <w:rFonts w:asciiTheme="majorBidi" w:hAnsiTheme="majorBidi" w:cstheme="majorBidi"/>
        </w:rPr>
        <w:t xml:space="preserve">n the </w:t>
      </w:r>
      <w:r>
        <w:rPr>
          <w:rFonts w:asciiTheme="majorBidi" w:hAnsiTheme="majorBidi" w:cstheme="majorBidi"/>
        </w:rPr>
        <w:t xml:space="preserve">rulemaking </w:t>
      </w:r>
      <w:r w:rsidRPr="00B9191B">
        <w:rPr>
          <w:rFonts w:asciiTheme="majorBidi" w:hAnsiTheme="majorBidi" w:cstheme="majorBidi"/>
        </w:rPr>
        <w:t>preamble</w:t>
      </w:r>
      <w:r>
        <w:rPr>
          <w:rFonts w:asciiTheme="majorBidi" w:hAnsiTheme="majorBidi" w:cstheme="majorBidi"/>
        </w:rPr>
        <w:t>,</w:t>
      </w:r>
      <w:r w:rsidRPr="00B9191B">
        <w:rPr>
          <w:rFonts w:asciiTheme="majorBidi" w:hAnsiTheme="majorBidi" w:cstheme="majorBidi"/>
        </w:rPr>
        <w:t xml:space="preserve"> </w:t>
      </w:r>
      <w:r>
        <w:rPr>
          <w:rFonts w:asciiTheme="majorBidi" w:hAnsiTheme="majorBidi" w:cstheme="majorBidi"/>
        </w:rPr>
        <w:t>t</w:t>
      </w:r>
      <w:r w:rsidR="00F209AB">
        <w:rPr>
          <w:rFonts w:asciiTheme="majorBidi" w:hAnsiTheme="majorBidi" w:cstheme="majorBidi"/>
        </w:rPr>
        <w:t>he</w:t>
      </w:r>
      <w:r w:rsidR="005B5711">
        <w:rPr>
          <w:rFonts w:asciiTheme="majorBidi" w:hAnsiTheme="majorBidi" w:cstheme="majorBidi"/>
        </w:rPr>
        <w:t xml:space="preserve"> </w:t>
      </w:r>
      <w:r w:rsidR="00954258" w:rsidRPr="00B9191B">
        <w:rPr>
          <w:rFonts w:asciiTheme="majorBidi" w:hAnsiTheme="majorBidi" w:cstheme="majorBidi"/>
        </w:rPr>
        <w:t xml:space="preserve">Texas Water Commission directly addressed </w:t>
      </w:r>
      <w:r w:rsidR="008657B8">
        <w:rPr>
          <w:rFonts w:asciiTheme="majorBidi" w:hAnsiTheme="majorBidi" w:cstheme="majorBidi"/>
        </w:rPr>
        <w:t>agency jurisdiction</w:t>
      </w:r>
      <w:r w:rsidR="00954258" w:rsidRPr="00B9191B">
        <w:rPr>
          <w:rFonts w:asciiTheme="majorBidi" w:hAnsiTheme="majorBidi" w:cstheme="majorBidi"/>
        </w:rPr>
        <w:t>, stating that “[t]he courts continue to recognize the commission’s jurisdiction in these matters and have reconciled that jurisdiction with the argument that commission review interferes with a constitutional right of contract.”</w:t>
      </w:r>
      <w:r w:rsidR="003E4A0E" w:rsidRPr="00B9191B">
        <w:rPr>
          <w:rStyle w:val="FootnoteReference"/>
          <w:rFonts w:asciiTheme="majorBidi" w:hAnsiTheme="majorBidi" w:cstheme="majorBidi"/>
        </w:rPr>
        <w:footnoteReference w:id="39"/>
      </w:r>
      <w:r w:rsidR="00954258" w:rsidRPr="00B9191B">
        <w:rPr>
          <w:rFonts w:asciiTheme="majorBidi" w:hAnsiTheme="majorBidi" w:cstheme="majorBidi"/>
        </w:rPr>
        <w:t xml:space="preserve">  The Texas Water Commission also </w:t>
      </w:r>
      <w:r w:rsidR="00F6116A" w:rsidRPr="00B9191B">
        <w:rPr>
          <w:rFonts w:asciiTheme="majorBidi" w:hAnsiTheme="majorBidi" w:cstheme="majorBidi"/>
        </w:rPr>
        <w:t>explained the purpose of these r</w:t>
      </w:r>
      <w:r w:rsidR="00954258" w:rsidRPr="00B9191B">
        <w:rPr>
          <w:rFonts w:asciiTheme="majorBidi" w:hAnsiTheme="majorBidi" w:cstheme="majorBidi"/>
        </w:rPr>
        <w:t xml:space="preserve">ules in </w:t>
      </w:r>
      <w:r w:rsidR="00F209AB">
        <w:rPr>
          <w:rFonts w:asciiTheme="majorBidi" w:hAnsiTheme="majorBidi" w:cstheme="majorBidi"/>
        </w:rPr>
        <w:t>the rulemaking preamble</w:t>
      </w:r>
      <w:r w:rsidR="00954258" w:rsidRPr="00B9191B">
        <w:rPr>
          <w:rFonts w:asciiTheme="majorBidi" w:hAnsiTheme="majorBidi" w:cstheme="majorBidi"/>
        </w:rPr>
        <w:t xml:space="preserve">, noting that the Commission could review </w:t>
      </w:r>
      <w:r w:rsidR="00954258" w:rsidRPr="00B9191B">
        <w:rPr>
          <w:rFonts w:asciiTheme="majorBidi" w:hAnsiTheme="majorBidi" w:cstheme="majorBidi"/>
        </w:rPr>
        <w:lastRenderedPageBreak/>
        <w:t>rates set pursuant to a contract where the seller has “monopoly power over the purchaser” and “the purchaser substantially has no alternatives to obtain water or sewer service because it has entered into a long term agreement with th</w:t>
      </w:r>
      <w:r w:rsidR="00F6116A" w:rsidRPr="00B9191B">
        <w:rPr>
          <w:rFonts w:asciiTheme="majorBidi" w:hAnsiTheme="majorBidi" w:cstheme="majorBidi"/>
        </w:rPr>
        <w:t>e seller.”</w:t>
      </w:r>
      <w:r w:rsidR="003E4A0E" w:rsidRPr="00B9191B">
        <w:rPr>
          <w:rStyle w:val="FootnoteReference"/>
          <w:rFonts w:asciiTheme="majorBidi" w:hAnsiTheme="majorBidi" w:cstheme="majorBidi"/>
        </w:rPr>
        <w:footnoteReference w:id="40"/>
      </w:r>
      <w:r w:rsidR="00F6116A" w:rsidRPr="00B9191B">
        <w:rPr>
          <w:rFonts w:asciiTheme="majorBidi" w:hAnsiTheme="majorBidi" w:cstheme="majorBidi"/>
        </w:rPr>
        <w:t xml:space="preserve">  </w:t>
      </w:r>
      <w:r w:rsidR="00954258" w:rsidRPr="00B9191B">
        <w:rPr>
          <w:rFonts w:asciiTheme="majorBidi" w:hAnsiTheme="majorBidi" w:cstheme="majorBidi"/>
        </w:rPr>
        <w:t>It was in that context that the Texas Water Commission adopted the two-phase hearing process that starts with an evidentiary hearing on public interest, which “focus[es] on the actual facts which will show whether the protested rate reflects this latter type of agreement so much that it invokes the public interest.”</w:t>
      </w:r>
      <w:r w:rsidR="003E4A0E" w:rsidRPr="00B9191B">
        <w:rPr>
          <w:rStyle w:val="FootnoteReference"/>
          <w:rFonts w:asciiTheme="majorBidi" w:hAnsiTheme="majorBidi" w:cstheme="majorBidi"/>
        </w:rPr>
        <w:footnoteReference w:id="41"/>
      </w:r>
      <w:r w:rsidR="00954258" w:rsidRPr="00B9191B">
        <w:rPr>
          <w:rFonts w:asciiTheme="majorBidi" w:hAnsiTheme="majorBidi" w:cstheme="majorBidi"/>
        </w:rPr>
        <w:t xml:space="preserve">  </w:t>
      </w:r>
      <w:r>
        <w:rPr>
          <w:rFonts w:asciiTheme="majorBidi" w:hAnsiTheme="majorBidi" w:cstheme="majorBidi"/>
        </w:rPr>
        <w:t xml:space="preserve">Thus, although the District says that </w:t>
      </w:r>
      <w:r w:rsidR="00DD2469">
        <w:rPr>
          <w:rFonts w:asciiTheme="majorBidi" w:hAnsiTheme="majorBidi" w:cstheme="majorBidi"/>
        </w:rPr>
        <w:t>a</w:t>
      </w:r>
      <w:r>
        <w:rPr>
          <w:rFonts w:asciiTheme="majorBidi" w:hAnsiTheme="majorBidi" w:cstheme="majorBidi"/>
        </w:rPr>
        <w:t xml:space="preserve"> Commission finding that the rates adversely affect the public interest would result in the contract being “set aside,”</w:t>
      </w:r>
      <w:r>
        <w:rPr>
          <w:rStyle w:val="FootnoteReference"/>
          <w:rFonts w:asciiTheme="majorBidi" w:hAnsiTheme="majorBidi" w:cstheme="majorBidi"/>
        </w:rPr>
        <w:footnoteReference w:id="42"/>
      </w:r>
      <w:r>
        <w:rPr>
          <w:rFonts w:asciiTheme="majorBidi" w:hAnsiTheme="majorBidi" w:cstheme="majorBidi"/>
        </w:rPr>
        <w:t xml:space="preserve"> in reality the governing rules were designed both to allow for review of contractual rates</w:t>
      </w:r>
      <w:r w:rsidR="00BA63C4">
        <w:rPr>
          <w:rStyle w:val="FootnoteReference"/>
          <w:rFonts w:asciiTheme="majorBidi" w:hAnsiTheme="majorBidi" w:cstheme="majorBidi"/>
        </w:rPr>
        <w:footnoteReference w:id="43"/>
      </w:r>
      <w:r>
        <w:rPr>
          <w:rFonts w:asciiTheme="majorBidi" w:hAnsiTheme="majorBidi" w:cstheme="majorBidi"/>
        </w:rPr>
        <w:t xml:space="preserve"> and to ensure deference to contracts</w:t>
      </w:r>
      <w:r w:rsidR="00055170">
        <w:rPr>
          <w:rFonts w:asciiTheme="majorBidi" w:hAnsiTheme="majorBidi" w:cstheme="majorBidi"/>
        </w:rPr>
        <w:t xml:space="preserve"> when appropriate</w:t>
      </w:r>
      <w:r>
        <w:rPr>
          <w:rFonts w:asciiTheme="majorBidi" w:hAnsiTheme="majorBidi" w:cstheme="majorBidi"/>
        </w:rPr>
        <w:t xml:space="preserve">. </w:t>
      </w:r>
    </w:p>
    <w:p w14:paraId="7D9F8207" w14:textId="6592FD16" w:rsidR="00954258" w:rsidRPr="00B9191B" w:rsidRDefault="00954258" w:rsidP="00677F41">
      <w:pPr>
        <w:pStyle w:val="Heading3"/>
      </w:pPr>
      <w:bookmarkStart w:id="32" w:name="_Toc507084062"/>
      <w:bookmarkStart w:id="33" w:name="_Toc507084389"/>
      <w:bookmarkStart w:id="34" w:name="_Toc507619267"/>
      <w:bookmarkStart w:id="35" w:name="_Toc481155425"/>
      <w:bookmarkStart w:id="36" w:name="_Toc481155646"/>
      <w:bookmarkStart w:id="37" w:name="_Toc481172514"/>
      <w:r w:rsidRPr="00B9191B">
        <w:t xml:space="preserve">The </w:t>
      </w:r>
      <w:r w:rsidRPr="00B9191B">
        <w:rPr>
          <w:i/>
        </w:rPr>
        <w:t>Canyon Regional</w:t>
      </w:r>
      <w:r w:rsidRPr="00B9191B">
        <w:t xml:space="preserve"> Court Affirmed the Validity of the</w:t>
      </w:r>
      <w:r w:rsidR="008657B8">
        <w:t xml:space="preserve"> Commission’s Rate Appeal</w:t>
      </w:r>
      <w:r w:rsidRPr="00B9191B">
        <w:t xml:space="preserve"> Rules</w:t>
      </w:r>
      <w:bookmarkEnd w:id="32"/>
      <w:bookmarkEnd w:id="33"/>
      <w:bookmarkEnd w:id="34"/>
      <w:r w:rsidRPr="00B9191B">
        <w:t xml:space="preserve"> </w:t>
      </w:r>
      <w:bookmarkEnd w:id="35"/>
      <w:bookmarkEnd w:id="36"/>
      <w:bookmarkEnd w:id="37"/>
    </w:p>
    <w:p w14:paraId="6B4C35CF" w14:textId="1266748A" w:rsidR="00954258" w:rsidRPr="00B9191B" w:rsidRDefault="00954258" w:rsidP="00CC3606">
      <w:pPr>
        <w:spacing w:after="0" w:line="360" w:lineRule="auto"/>
        <w:ind w:firstLine="720"/>
        <w:rPr>
          <w:rFonts w:asciiTheme="majorBidi" w:hAnsiTheme="majorBidi" w:cstheme="majorBidi"/>
        </w:rPr>
      </w:pPr>
      <w:bookmarkStart w:id="38" w:name="_Toc479288762"/>
      <w:r w:rsidRPr="00B9191B">
        <w:rPr>
          <w:rFonts w:asciiTheme="majorBidi" w:hAnsiTheme="majorBidi" w:cstheme="majorBidi"/>
        </w:rPr>
        <w:t xml:space="preserve">Over a decade after the </w:t>
      </w:r>
      <w:r w:rsidR="002D19C0" w:rsidRPr="00B9191B">
        <w:rPr>
          <w:rFonts w:asciiTheme="majorBidi" w:hAnsiTheme="majorBidi" w:cstheme="majorBidi"/>
        </w:rPr>
        <w:t>r</w:t>
      </w:r>
      <w:r w:rsidRPr="00B9191B">
        <w:rPr>
          <w:rFonts w:asciiTheme="majorBidi" w:hAnsiTheme="majorBidi" w:cstheme="majorBidi"/>
        </w:rPr>
        <w:t xml:space="preserve">ules were promulgated, </w:t>
      </w:r>
      <w:r w:rsidR="00B9191B" w:rsidRPr="00B9191B">
        <w:rPr>
          <w:rFonts w:asciiTheme="majorBidi" w:hAnsiTheme="majorBidi" w:cstheme="majorBidi"/>
        </w:rPr>
        <w:t>a</w:t>
      </w:r>
      <w:r w:rsidRPr="00B9191B">
        <w:rPr>
          <w:rFonts w:asciiTheme="majorBidi" w:hAnsiTheme="majorBidi" w:cstheme="majorBidi"/>
        </w:rPr>
        <w:t xml:space="preserve"> </w:t>
      </w:r>
      <w:r w:rsidR="00F209AB">
        <w:rPr>
          <w:rFonts w:asciiTheme="majorBidi" w:hAnsiTheme="majorBidi" w:cstheme="majorBidi"/>
        </w:rPr>
        <w:t>Texas court</w:t>
      </w:r>
      <w:r w:rsidRPr="00B9191B">
        <w:rPr>
          <w:rFonts w:asciiTheme="majorBidi" w:hAnsiTheme="majorBidi" w:cstheme="majorBidi"/>
        </w:rPr>
        <w:t xml:space="preserve"> </w:t>
      </w:r>
      <w:r w:rsidR="003E54E5" w:rsidRPr="00B9191B">
        <w:rPr>
          <w:rFonts w:asciiTheme="majorBidi" w:hAnsiTheme="majorBidi" w:cstheme="majorBidi"/>
        </w:rPr>
        <w:t>affirmed their validity</w:t>
      </w:r>
      <w:r w:rsidR="00B9191B" w:rsidRPr="00B9191B">
        <w:rPr>
          <w:rFonts w:asciiTheme="majorBidi" w:hAnsiTheme="majorBidi" w:cstheme="majorBidi"/>
        </w:rPr>
        <w:t xml:space="preserve"> in </w:t>
      </w:r>
      <w:r w:rsidR="00B9191B" w:rsidRPr="00B9191B">
        <w:rPr>
          <w:rFonts w:asciiTheme="majorBidi" w:hAnsiTheme="majorBidi" w:cstheme="majorBidi"/>
          <w:i/>
        </w:rPr>
        <w:t>Canyon Regional Water Authority v. Guadalupe-Blanco River Authority</w:t>
      </w:r>
      <w:r w:rsidR="003E54E5" w:rsidRPr="00B9191B">
        <w:rPr>
          <w:rFonts w:asciiTheme="majorBidi" w:hAnsiTheme="majorBidi" w:cstheme="majorBidi"/>
        </w:rPr>
        <w:t>.</w:t>
      </w:r>
      <w:r w:rsidR="003E4A0E" w:rsidRPr="00B9191B">
        <w:rPr>
          <w:rStyle w:val="FootnoteReference"/>
          <w:rFonts w:asciiTheme="majorBidi" w:hAnsiTheme="majorBidi" w:cstheme="majorBidi"/>
        </w:rPr>
        <w:footnoteReference w:id="44"/>
      </w:r>
      <w:r w:rsidR="003E54E5" w:rsidRPr="00B9191B">
        <w:rPr>
          <w:rFonts w:asciiTheme="majorBidi" w:hAnsiTheme="majorBidi" w:cstheme="majorBidi"/>
        </w:rPr>
        <w:t xml:space="preserve"> </w:t>
      </w:r>
      <w:r w:rsidRPr="00B9191B">
        <w:rPr>
          <w:rFonts w:asciiTheme="majorBidi" w:hAnsiTheme="majorBidi" w:cstheme="majorBidi"/>
        </w:rPr>
        <w:t>In that case,</w:t>
      </w:r>
      <w:r w:rsidRPr="00B9191B">
        <w:rPr>
          <w:rFonts w:asciiTheme="majorBidi" w:hAnsiTheme="majorBidi" w:cstheme="majorBidi"/>
          <w:i/>
        </w:rPr>
        <w:t xml:space="preserve"> </w:t>
      </w:r>
      <w:r w:rsidRPr="00B9191B">
        <w:rPr>
          <w:rFonts w:asciiTheme="majorBidi" w:hAnsiTheme="majorBidi" w:cstheme="majorBidi"/>
        </w:rPr>
        <w:t xml:space="preserve">the Canyon Regional Water Authority </w:t>
      </w:r>
      <w:r w:rsidRPr="009473E2">
        <w:rPr>
          <w:rFonts w:asciiTheme="majorBidi" w:hAnsiTheme="majorBidi" w:cstheme="majorBidi"/>
        </w:rPr>
        <w:t>(“</w:t>
      </w:r>
      <w:r w:rsidRPr="00065622">
        <w:rPr>
          <w:rFonts w:asciiTheme="majorBidi" w:hAnsiTheme="majorBidi" w:cstheme="majorBidi"/>
        </w:rPr>
        <w:t>Water Authority</w:t>
      </w:r>
      <w:r w:rsidRPr="009473E2">
        <w:rPr>
          <w:rFonts w:asciiTheme="majorBidi" w:hAnsiTheme="majorBidi" w:cstheme="majorBidi"/>
        </w:rPr>
        <w:t>”)</w:t>
      </w:r>
      <w:r w:rsidRPr="00B9191B">
        <w:rPr>
          <w:rFonts w:asciiTheme="majorBidi" w:hAnsiTheme="majorBidi" w:cstheme="majorBidi"/>
        </w:rPr>
        <w:t xml:space="preserve"> appealed a rate increase imposed by the Guadalupe-Blanco River Authority under predecessor rules</w:t>
      </w:r>
      <w:r w:rsidR="002D19C0" w:rsidRPr="00B9191B">
        <w:rPr>
          <w:rFonts w:asciiTheme="majorBidi" w:hAnsiTheme="majorBidi" w:cstheme="majorBidi"/>
        </w:rPr>
        <w:t>.  As with the District’s c</w:t>
      </w:r>
      <w:r w:rsidRPr="00B9191B">
        <w:rPr>
          <w:rFonts w:asciiTheme="majorBidi" w:hAnsiTheme="majorBidi" w:cstheme="majorBidi"/>
        </w:rPr>
        <w:t>ontract, the Water Authority’s contract contained a rate-setting framework, including annual adjustment provisions, but the rates were not set in the contract.</w:t>
      </w:r>
      <w:r w:rsidR="003E4A0E" w:rsidRPr="00B9191B">
        <w:rPr>
          <w:rStyle w:val="FootnoteReference"/>
          <w:rFonts w:asciiTheme="majorBidi" w:hAnsiTheme="majorBidi" w:cstheme="majorBidi"/>
        </w:rPr>
        <w:footnoteReference w:id="45"/>
      </w:r>
      <w:r w:rsidRPr="00B9191B">
        <w:rPr>
          <w:rFonts w:asciiTheme="majorBidi" w:hAnsiTheme="majorBidi" w:cstheme="majorBidi"/>
        </w:rPr>
        <w:t xml:space="preserve">  </w:t>
      </w:r>
    </w:p>
    <w:p w14:paraId="65B93C5C" w14:textId="398275BE" w:rsidR="00954258" w:rsidRPr="00B9191B" w:rsidRDefault="00954258" w:rsidP="00CC3606">
      <w:pPr>
        <w:spacing w:after="0" w:line="360" w:lineRule="auto"/>
        <w:ind w:firstLine="720"/>
        <w:rPr>
          <w:rFonts w:asciiTheme="majorBidi" w:hAnsiTheme="majorBidi" w:cstheme="majorBidi"/>
        </w:rPr>
      </w:pPr>
      <w:r w:rsidRPr="00B9191B">
        <w:rPr>
          <w:rFonts w:asciiTheme="majorBidi" w:hAnsiTheme="majorBidi" w:cstheme="majorBidi"/>
        </w:rPr>
        <w:t xml:space="preserve">The Water Authority argued that a public interest hearing (1) was not required because the rate was not set pursuant to the contract and (2) exceeded the agency’s statutory authority </w:t>
      </w:r>
      <w:r w:rsidRPr="00B9191B">
        <w:rPr>
          <w:rFonts w:asciiTheme="majorBidi" w:hAnsiTheme="majorBidi" w:cstheme="majorBidi"/>
        </w:rPr>
        <w:lastRenderedPageBreak/>
        <w:t>because it impeded the Water Authority’s contract.</w:t>
      </w:r>
      <w:r w:rsidR="003E4A0E" w:rsidRPr="00B9191B">
        <w:rPr>
          <w:rStyle w:val="FootnoteReference"/>
          <w:rFonts w:asciiTheme="majorBidi" w:hAnsiTheme="majorBidi" w:cstheme="majorBidi"/>
        </w:rPr>
        <w:footnoteReference w:id="46"/>
      </w:r>
      <w:r w:rsidRPr="00B9191B">
        <w:rPr>
          <w:rFonts w:asciiTheme="majorBidi" w:hAnsiTheme="majorBidi" w:cstheme="majorBidi"/>
        </w:rPr>
        <w:t xml:space="preserve">  The court rejected both arguments.  In holding that a public interest hearing was required, the court </w:t>
      </w:r>
      <w:r w:rsidR="008657B8">
        <w:rPr>
          <w:rFonts w:asciiTheme="majorBidi" w:hAnsiTheme="majorBidi" w:cstheme="majorBidi"/>
        </w:rPr>
        <w:t>stated</w:t>
      </w:r>
      <w:r w:rsidRPr="00B9191B">
        <w:rPr>
          <w:rFonts w:asciiTheme="majorBidi" w:hAnsiTheme="majorBidi" w:cstheme="majorBidi"/>
        </w:rPr>
        <w:t xml:space="preserve"> that where the contract “d[id] not provide a permanent, fixed number,” the rate was set </w:t>
      </w:r>
      <w:r w:rsidRPr="00B9191B">
        <w:rPr>
          <w:rFonts w:asciiTheme="majorBidi" w:hAnsiTheme="majorBidi" w:cstheme="majorBidi"/>
          <w:i/>
        </w:rPr>
        <w:t>pursuant</w:t>
      </w:r>
      <w:r w:rsidRPr="00B9191B">
        <w:rPr>
          <w:rFonts w:asciiTheme="majorBidi" w:hAnsiTheme="majorBidi" w:cstheme="majorBidi"/>
        </w:rPr>
        <w:t xml:space="preserve"> to the contract and required a public interest hearing under the challenged rule.</w:t>
      </w:r>
      <w:r w:rsidR="003E4A0E" w:rsidRPr="00B9191B">
        <w:rPr>
          <w:rStyle w:val="FootnoteReference"/>
          <w:rFonts w:asciiTheme="majorBidi" w:hAnsiTheme="majorBidi" w:cstheme="majorBidi"/>
        </w:rPr>
        <w:footnoteReference w:id="47"/>
      </w:r>
      <w:r w:rsidRPr="00B9191B">
        <w:rPr>
          <w:rFonts w:asciiTheme="majorBidi" w:hAnsiTheme="majorBidi" w:cstheme="majorBidi"/>
        </w:rPr>
        <w:t xml:space="preserve">  Further, in holding that the public interest hearing did not impede any contractual right of the Water Authority, the court noted that the challenged rule was “a permissible administrative rule given that the water code’s regulatory scheme favors contracts between governmental entities for the supply of water,” that “the Commission promulgated an administrative rule that, at least in its opinion, protects legislatively created contractual rights between governmental entities,” and that “there is no compelling reason to disturb the rate-reviewing scheme.”</w:t>
      </w:r>
      <w:r w:rsidR="003E4A0E" w:rsidRPr="00B9191B">
        <w:rPr>
          <w:rStyle w:val="FootnoteReference"/>
          <w:rFonts w:asciiTheme="majorBidi" w:hAnsiTheme="majorBidi" w:cstheme="majorBidi"/>
        </w:rPr>
        <w:footnoteReference w:id="48"/>
      </w:r>
      <w:r w:rsidRPr="00B9191B">
        <w:rPr>
          <w:rFonts w:asciiTheme="majorBidi" w:hAnsiTheme="majorBidi" w:cstheme="majorBidi"/>
        </w:rPr>
        <w:t xml:space="preserve">  </w:t>
      </w:r>
    </w:p>
    <w:p w14:paraId="0E4D807F" w14:textId="5BAA8A6B" w:rsidR="00954258" w:rsidRPr="00B9191B" w:rsidRDefault="00954258" w:rsidP="00CC3606">
      <w:pPr>
        <w:spacing w:after="0" w:line="360" w:lineRule="auto"/>
        <w:ind w:firstLine="720"/>
        <w:rPr>
          <w:rFonts w:asciiTheme="majorBidi" w:hAnsiTheme="majorBidi" w:cstheme="majorBidi"/>
        </w:rPr>
      </w:pPr>
      <w:r w:rsidRPr="00B9191B">
        <w:rPr>
          <w:rFonts w:asciiTheme="majorBidi" w:hAnsiTheme="majorBidi" w:cstheme="majorBidi"/>
        </w:rPr>
        <w:t xml:space="preserve">The District’s characterization of the </w:t>
      </w:r>
      <w:r w:rsidR="00D42955" w:rsidRPr="00B9191B">
        <w:rPr>
          <w:rFonts w:asciiTheme="majorBidi" w:hAnsiTheme="majorBidi" w:cstheme="majorBidi"/>
        </w:rPr>
        <w:t>Petitioning Cities’ appeal as a “collateral attack” that will lead to the Commission “set[ting] aside” the contract</w:t>
      </w:r>
      <w:r w:rsidR="00B9191B" w:rsidRPr="00B9191B">
        <w:rPr>
          <w:rStyle w:val="FootnoteReference"/>
          <w:rFonts w:asciiTheme="majorBidi" w:hAnsiTheme="majorBidi" w:cstheme="majorBidi"/>
        </w:rPr>
        <w:footnoteReference w:id="49"/>
      </w:r>
      <w:r w:rsidR="00D42955" w:rsidRPr="00B9191B">
        <w:rPr>
          <w:rFonts w:asciiTheme="majorBidi" w:hAnsiTheme="majorBidi" w:cstheme="majorBidi"/>
        </w:rPr>
        <w:t xml:space="preserve"> </w:t>
      </w:r>
      <w:r w:rsidRPr="00B9191B">
        <w:rPr>
          <w:rFonts w:asciiTheme="majorBidi" w:hAnsiTheme="majorBidi" w:cstheme="majorBidi"/>
        </w:rPr>
        <w:t xml:space="preserve">contradicts the holding in </w:t>
      </w:r>
      <w:r w:rsidRPr="00B9191B">
        <w:rPr>
          <w:rFonts w:asciiTheme="majorBidi" w:hAnsiTheme="majorBidi" w:cstheme="majorBidi"/>
          <w:i/>
        </w:rPr>
        <w:t>Canyon Regional Water Authority</w:t>
      </w:r>
      <w:r w:rsidR="003E54E5" w:rsidRPr="00B9191B">
        <w:rPr>
          <w:rFonts w:asciiTheme="majorBidi" w:hAnsiTheme="majorBidi" w:cstheme="majorBidi"/>
          <w:i/>
        </w:rPr>
        <w:t xml:space="preserve">.  </w:t>
      </w:r>
      <w:r w:rsidRPr="00B9191B">
        <w:rPr>
          <w:rFonts w:asciiTheme="majorBidi" w:hAnsiTheme="majorBidi" w:cstheme="majorBidi"/>
        </w:rPr>
        <w:t xml:space="preserve">Its characterization also conflicts with its own Security and Exchange Commission disclosures, where the District called </w:t>
      </w:r>
      <w:r w:rsidR="00C9076D" w:rsidRPr="00B9191B">
        <w:rPr>
          <w:rFonts w:asciiTheme="majorBidi" w:hAnsiTheme="majorBidi" w:cstheme="majorBidi"/>
        </w:rPr>
        <w:t>the</w:t>
      </w:r>
      <w:r w:rsidR="00F209AB">
        <w:rPr>
          <w:rFonts w:asciiTheme="majorBidi" w:hAnsiTheme="majorBidi" w:cstheme="majorBidi"/>
        </w:rPr>
        <w:t xml:space="preserve"> Petitioning Cities’ initial</w:t>
      </w:r>
      <w:r w:rsidR="00C9076D" w:rsidRPr="00B9191B">
        <w:rPr>
          <w:rFonts w:asciiTheme="majorBidi" w:hAnsiTheme="majorBidi" w:cstheme="majorBidi"/>
        </w:rPr>
        <w:t xml:space="preserve"> appeal</w:t>
      </w:r>
      <w:r w:rsidRPr="00B9191B">
        <w:rPr>
          <w:rFonts w:asciiTheme="majorBidi" w:hAnsiTheme="majorBidi" w:cstheme="majorBidi"/>
        </w:rPr>
        <w:t xml:space="preserve"> an “appeal [of] the </w:t>
      </w:r>
      <w:r w:rsidRPr="00B9191B">
        <w:rPr>
          <w:rFonts w:asciiTheme="majorBidi" w:hAnsiTheme="majorBidi" w:cstheme="majorBidi"/>
          <w:i/>
        </w:rPr>
        <w:t>charges</w:t>
      </w:r>
      <w:r w:rsidRPr="00B9191B">
        <w:rPr>
          <w:rFonts w:asciiTheme="majorBidi" w:hAnsiTheme="majorBidi" w:cstheme="majorBidi"/>
        </w:rPr>
        <w:t xml:space="preserve"> imposed on the [Cities] </w:t>
      </w:r>
      <w:r w:rsidRPr="00B9191B">
        <w:rPr>
          <w:rFonts w:asciiTheme="majorBidi" w:hAnsiTheme="majorBidi" w:cstheme="majorBidi"/>
          <w:i/>
        </w:rPr>
        <w:t>pursuant to</w:t>
      </w:r>
      <w:r w:rsidRPr="00B9191B">
        <w:rPr>
          <w:rFonts w:asciiTheme="majorBidi" w:hAnsiTheme="majorBidi" w:cstheme="majorBidi"/>
        </w:rPr>
        <w:t xml:space="preserve"> the Regional Water Supply Facilities Amendatory Contract.”</w:t>
      </w:r>
      <w:r w:rsidR="003E4A0E" w:rsidRPr="00B9191B">
        <w:rPr>
          <w:rStyle w:val="FootnoteReference"/>
          <w:rFonts w:asciiTheme="majorBidi" w:hAnsiTheme="majorBidi" w:cstheme="majorBidi"/>
        </w:rPr>
        <w:footnoteReference w:id="50"/>
      </w:r>
      <w:r w:rsidRPr="00B9191B">
        <w:rPr>
          <w:rFonts w:asciiTheme="majorBidi" w:hAnsiTheme="majorBidi" w:cstheme="majorBidi"/>
        </w:rPr>
        <w:t xml:space="preserve">  </w:t>
      </w:r>
    </w:p>
    <w:p w14:paraId="48DA8392" w14:textId="152ADA8E" w:rsidR="00AC06C8" w:rsidRPr="00B9191B" w:rsidRDefault="00AC06C8" w:rsidP="00677F41">
      <w:pPr>
        <w:pStyle w:val="Heading2"/>
      </w:pPr>
      <w:bookmarkStart w:id="39" w:name="_Toc507084064"/>
      <w:bookmarkStart w:id="40" w:name="_Toc507084391"/>
      <w:bookmarkStart w:id="41" w:name="_Toc507619268"/>
      <w:bookmarkEnd w:id="38"/>
      <w:r w:rsidRPr="00B9191B">
        <w:t xml:space="preserve">Section 12.013 of the Texas Water Code </w:t>
      </w:r>
      <w:r w:rsidR="002D19C0" w:rsidRPr="00B9191B">
        <w:t>Also Authorizes the Commission to Review the District’s Rates</w:t>
      </w:r>
      <w:bookmarkEnd w:id="39"/>
      <w:bookmarkEnd w:id="40"/>
      <w:bookmarkEnd w:id="41"/>
    </w:p>
    <w:p w14:paraId="01F64B5D" w14:textId="7A1C4D4B" w:rsidR="00AC06C8" w:rsidRPr="00B9191B" w:rsidRDefault="002D19C0" w:rsidP="00CC3606">
      <w:pPr>
        <w:spacing w:after="0" w:line="360" w:lineRule="auto"/>
        <w:ind w:firstLine="720"/>
        <w:rPr>
          <w:rFonts w:asciiTheme="majorBidi" w:hAnsiTheme="majorBidi" w:cstheme="majorBidi"/>
        </w:rPr>
      </w:pPr>
      <w:r w:rsidRPr="00B9191B">
        <w:rPr>
          <w:rFonts w:asciiTheme="majorBidi" w:hAnsiTheme="majorBidi" w:cstheme="majorBidi"/>
        </w:rPr>
        <w:t xml:space="preserve">The Petitioning Cities also appealed the District’s rates under </w:t>
      </w:r>
      <w:r w:rsidR="00C9076D" w:rsidRPr="00B9191B">
        <w:rPr>
          <w:rFonts w:asciiTheme="majorBidi" w:hAnsiTheme="majorBidi" w:cstheme="majorBidi"/>
        </w:rPr>
        <w:t>Section 12.013</w:t>
      </w:r>
      <w:r w:rsidR="00AC06C8" w:rsidRPr="00B9191B">
        <w:rPr>
          <w:rFonts w:asciiTheme="majorBidi" w:hAnsiTheme="majorBidi" w:cstheme="majorBidi"/>
        </w:rPr>
        <w:t xml:space="preserve"> of the Texas Water Code</w:t>
      </w:r>
      <w:r w:rsidRPr="00B9191B">
        <w:rPr>
          <w:rFonts w:asciiTheme="majorBidi" w:hAnsiTheme="majorBidi" w:cstheme="majorBidi"/>
        </w:rPr>
        <w:t>, which</w:t>
      </w:r>
      <w:r w:rsidR="00AC06C8" w:rsidRPr="00B9191B">
        <w:rPr>
          <w:rFonts w:asciiTheme="majorBidi" w:hAnsiTheme="majorBidi" w:cstheme="majorBidi"/>
        </w:rPr>
        <w:t xml:space="preserve"> independently authorizes the Commission to review and fix rates for the </w:t>
      </w:r>
      <w:r w:rsidRPr="00B9191B">
        <w:rPr>
          <w:rFonts w:asciiTheme="majorBidi" w:hAnsiTheme="majorBidi" w:cstheme="majorBidi"/>
        </w:rPr>
        <w:t>furnishing of water and which provides</w:t>
      </w:r>
      <w:r w:rsidR="00AC06C8" w:rsidRPr="00B9191B">
        <w:rPr>
          <w:rFonts w:asciiTheme="majorBidi" w:hAnsiTheme="majorBidi" w:cstheme="majorBidi"/>
        </w:rPr>
        <w:t xml:space="preserve"> that “[t]he utility commission shall fix reasonable rates for the furnishing of raw or treated water for any purpose mentioned in Chapter 11 or 12 of this code.”</w:t>
      </w:r>
      <w:r w:rsidR="00AC06C8" w:rsidRPr="00B9191B">
        <w:rPr>
          <w:rStyle w:val="FootnoteReference"/>
          <w:rFonts w:asciiTheme="majorBidi" w:hAnsiTheme="majorBidi" w:cstheme="majorBidi"/>
        </w:rPr>
        <w:footnoteReference w:id="51"/>
      </w:r>
      <w:r w:rsidR="00AC06C8" w:rsidRPr="00B9191B">
        <w:rPr>
          <w:rFonts w:asciiTheme="majorBidi" w:hAnsiTheme="majorBidi" w:cstheme="majorBidi"/>
        </w:rPr>
        <w:t xml:space="preserve">  This is a broad grant of authority.</w:t>
      </w:r>
      <w:r w:rsidR="00AC06C8" w:rsidRPr="00B9191B">
        <w:rPr>
          <w:rStyle w:val="FootnoteReference"/>
          <w:rFonts w:asciiTheme="majorBidi" w:hAnsiTheme="majorBidi" w:cstheme="majorBidi"/>
        </w:rPr>
        <w:footnoteReference w:id="52"/>
      </w:r>
    </w:p>
    <w:p w14:paraId="3C9EF70D" w14:textId="0DFC578F" w:rsidR="00AC06C8" w:rsidRPr="00B9191B" w:rsidRDefault="00F209AB" w:rsidP="00CC3606">
      <w:pPr>
        <w:spacing w:after="0" w:line="360" w:lineRule="auto"/>
        <w:ind w:firstLine="720"/>
        <w:rPr>
          <w:rFonts w:asciiTheme="majorBidi" w:hAnsiTheme="majorBidi" w:cstheme="majorBidi"/>
        </w:rPr>
      </w:pPr>
      <w:r>
        <w:rPr>
          <w:rFonts w:asciiTheme="majorBidi" w:hAnsiTheme="majorBidi" w:cstheme="majorBidi"/>
        </w:rPr>
        <w:lastRenderedPageBreak/>
        <w:t>Again, t</w:t>
      </w:r>
      <w:r w:rsidR="00AC06C8" w:rsidRPr="00B9191B">
        <w:rPr>
          <w:rFonts w:asciiTheme="majorBidi" w:hAnsiTheme="majorBidi" w:cstheme="majorBidi"/>
        </w:rPr>
        <w:t>he District</w:t>
      </w:r>
      <w:r w:rsidR="00C9076D" w:rsidRPr="00B9191B">
        <w:rPr>
          <w:rFonts w:asciiTheme="majorBidi" w:hAnsiTheme="majorBidi" w:cstheme="majorBidi"/>
        </w:rPr>
        <w:t>’s basis for dismissal is that</w:t>
      </w:r>
      <w:r w:rsidR="00AC06C8" w:rsidRPr="00B9191B">
        <w:rPr>
          <w:rFonts w:asciiTheme="majorBidi" w:hAnsiTheme="majorBidi" w:cstheme="majorBidi"/>
        </w:rPr>
        <w:t xml:space="preserve"> </w:t>
      </w:r>
      <w:r w:rsidR="00242643" w:rsidRPr="00B9191B">
        <w:rPr>
          <w:rFonts w:asciiTheme="majorBidi" w:hAnsiTheme="majorBidi" w:cstheme="majorBidi"/>
        </w:rPr>
        <w:t xml:space="preserve">its </w:t>
      </w:r>
      <w:r w:rsidR="00AC06C8" w:rsidRPr="00B9191B">
        <w:rPr>
          <w:rFonts w:asciiTheme="majorBidi" w:hAnsiTheme="majorBidi" w:cstheme="majorBidi"/>
        </w:rPr>
        <w:t>enabling act makes its wholesale water supply contract with the Petition</w:t>
      </w:r>
      <w:r w:rsidR="00B9191B" w:rsidRPr="00B9191B">
        <w:rPr>
          <w:rFonts w:asciiTheme="majorBidi" w:hAnsiTheme="majorBidi" w:cstheme="majorBidi"/>
        </w:rPr>
        <w:t>ing Cities</w:t>
      </w:r>
      <w:r w:rsidR="00AC06C8" w:rsidRPr="00B9191B">
        <w:rPr>
          <w:rFonts w:asciiTheme="majorBidi" w:hAnsiTheme="majorBidi" w:cstheme="majorBidi"/>
        </w:rPr>
        <w:t xml:space="preserve"> “incontestable” and </w:t>
      </w:r>
      <w:r w:rsidR="00BB18B9">
        <w:rPr>
          <w:rFonts w:asciiTheme="majorBidi" w:hAnsiTheme="majorBidi" w:cstheme="majorBidi"/>
        </w:rPr>
        <w:t>shields</w:t>
      </w:r>
      <w:r w:rsidR="00AC06C8" w:rsidRPr="00B9191B">
        <w:rPr>
          <w:rFonts w:asciiTheme="majorBidi" w:hAnsiTheme="majorBidi" w:cstheme="majorBidi"/>
        </w:rPr>
        <w:t xml:space="preserve"> </w:t>
      </w:r>
      <w:r w:rsidR="002D19C0" w:rsidRPr="00B9191B">
        <w:rPr>
          <w:rFonts w:asciiTheme="majorBidi" w:hAnsiTheme="majorBidi" w:cstheme="majorBidi"/>
        </w:rPr>
        <w:t xml:space="preserve">its contractual rates </w:t>
      </w:r>
      <w:r w:rsidR="00BB18B9">
        <w:rPr>
          <w:rFonts w:asciiTheme="majorBidi" w:hAnsiTheme="majorBidi" w:cstheme="majorBidi"/>
        </w:rPr>
        <w:t xml:space="preserve">from </w:t>
      </w:r>
      <w:r w:rsidR="00AC06C8" w:rsidRPr="00B9191B">
        <w:rPr>
          <w:rFonts w:asciiTheme="majorBidi" w:hAnsiTheme="majorBidi" w:cstheme="majorBidi"/>
        </w:rPr>
        <w:t>Commission review.</w:t>
      </w:r>
      <w:r w:rsidR="00B9191B" w:rsidRPr="00B9191B">
        <w:rPr>
          <w:rStyle w:val="FootnoteReference"/>
          <w:rFonts w:asciiTheme="majorBidi" w:hAnsiTheme="majorBidi" w:cstheme="majorBidi"/>
        </w:rPr>
        <w:footnoteReference w:id="53"/>
      </w:r>
      <w:r w:rsidR="00AC06C8" w:rsidRPr="00B9191B">
        <w:rPr>
          <w:rFonts w:asciiTheme="majorBidi" w:hAnsiTheme="majorBidi" w:cstheme="majorBidi"/>
        </w:rPr>
        <w:t xml:space="preserve">  </w:t>
      </w:r>
      <w:r>
        <w:rPr>
          <w:rFonts w:asciiTheme="majorBidi" w:hAnsiTheme="majorBidi" w:cstheme="majorBidi"/>
        </w:rPr>
        <w:t>That</w:t>
      </w:r>
      <w:r w:rsidR="00AC06C8" w:rsidRPr="00B9191B">
        <w:rPr>
          <w:rFonts w:asciiTheme="majorBidi" w:hAnsiTheme="majorBidi" w:cstheme="majorBidi"/>
        </w:rPr>
        <w:t xml:space="preserve"> </w:t>
      </w:r>
      <w:r w:rsidR="008657B8">
        <w:rPr>
          <w:rFonts w:asciiTheme="majorBidi" w:hAnsiTheme="majorBidi" w:cstheme="majorBidi"/>
        </w:rPr>
        <w:t xml:space="preserve">is </w:t>
      </w:r>
      <w:r w:rsidR="002D19C0" w:rsidRPr="00B9191B">
        <w:rPr>
          <w:rFonts w:asciiTheme="majorBidi" w:hAnsiTheme="majorBidi" w:cstheme="majorBidi"/>
        </w:rPr>
        <w:t>wrong for the reasons above</w:t>
      </w:r>
      <w:r>
        <w:rPr>
          <w:rFonts w:asciiTheme="majorBidi" w:hAnsiTheme="majorBidi" w:cstheme="majorBidi"/>
        </w:rPr>
        <w:t xml:space="preserve"> and </w:t>
      </w:r>
      <w:r w:rsidR="00AC06C8" w:rsidRPr="00B9191B">
        <w:rPr>
          <w:rFonts w:asciiTheme="majorBidi" w:hAnsiTheme="majorBidi" w:cstheme="majorBidi"/>
        </w:rPr>
        <w:t xml:space="preserve">because the District’s enabling act actually incorporates the Commission’s </w:t>
      </w:r>
      <w:r w:rsidR="00BB18B9">
        <w:rPr>
          <w:rFonts w:asciiTheme="majorBidi" w:hAnsiTheme="majorBidi" w:cstheme="majorBidi"/>
        </w:rPr>
        <w:t>jurisdiction</w:t>
      </w:r>
      <w:r w:rsidR="00AC06C8" w:rsidRPr="00B9191B">
        <w:rPr>
          <w:rFonts w:asciiTheme="majorBidi" w:hAnsiTheme="majorBidi" w:cstheme="majorBidi"/>
        </w:rPr>
        <w:t xml:space="preserve"> under Section 12.013.</w:t>
      </w:r>
    </w:p>
    <w:p w14:paraId="293826FB" w14:textId="5B9354FF" w:rsidR="00AC06C8" w:rsidRPr="00B9191B" w:rsidRDefault="00AC06C8" w:rsidP="00CC3606">
      <w:pPr>
        <w:spacing w:after="0" w:line="360" w:lineRule="auto"/>
        <w:ind w:firstLine="720"/>
        <w:rPr>
          <w:rFonts w:asciiTheme="majorBidi" w:hAnsiTheme="majorBidi" w:cstheme="majorBidi"/>
        </w:rPr>
      </w:pPr>
      <w:r w:rsidRPr="00B9191B">
        <w:rPr>
          <w:rFonts w:asciiTheme="majorBidi" w:hAnsiTheme="majorBidi" w:cstheme="majorBidi"/>
        </w:rPr>
        <w:t>The Legislature amended the District’s enabling act in 1975 to provide that “[n]othing in this Act shall relieve the district from compliance with the provisions of Chapters 5, 6, and 50, Water Code, as amended.”</w:t>
      </w:r>
      <w:r w:rsidRPr="00B9191B">
        <w:rPr>
          <w:rStyle w:val="FootnoteReference"/>
          <w:rFonts w:asciiTheme="majorBidi" w:hAnsiTheme="majorBidi" w:cstheme="majorBidi"/>
        </w:rPr>
        <w:footnoteReference w:id="54"/>
      </w:r>
      <w:r w:rsidRPr="00B9191B">
        <w:rPr>
          <w:rFonts w:asciiTheme="majorBidi" w:hAnsiTheme="majorBidi" w:cstheme="majorBidi"/>
        </w:rPr>
        <w:t xml:space="preserve">  At that time, Section 6.056 of the Texas Water Code provided that “[t]he commission shall fix reasonable rates for the furnishing of water for any purpose mentioned in Chapter 5 or 6 of this code.”</w:t>
      </w:r>
      <w:r w:rsidRPr="00B9191B">
        <w:rPr>
          <w:rStyle w:val="FootnoteReference"/>
          <w:rFonts w:asciiTheme="majorBidi" w:hAnsiTheme="majorBidi" w:cstheme="majorBidi"/>
        </w:rPr>
        <w:footnoteReference w:id="55"/>
      </w:r>
      <w:r w:rsidRPr="00B9191B">
        <w:rPr>
          <w:rFonts w:asciiTheme="majorBidi" w:hAnsiTheme="majorBidi" w:cstheme="majorBidi"/>
        </w:rPr>
        <w:t xml:space="preserve">  The Legislature later transferred Section 6.056 to become Section 12.013(a) of the Texas Water Code,</w:t>
      </w:r>
      <w:r w:rsidRPr="00B9191B">
        <w:rPr>
          <w:rStyle w:val="FootnoteReference"/>
          <w:rFonts w:asciiTheme="majorBidi" w:hAnsiTheme="majorBidi" w:cstheme="majorBidi"/>
        </w:rPr>
        <w:footnoteReference w:id="56"/>
      </w:r>
      <w:r w:rsidRPr="00B9191B">
        <w:rPr>
          <w:rFonts w:asciiTheme="majorBidi" w:hAnsiTheme="majorBidi" w:cstheme="majorBidi"/>
        </w:rPr>
        <w:t xml:space="preserve"> which to this day authorizes the Commission to “fix reasonable rates for the furnishing of raw or treated water for any purpose mentioned in Chapter 11 or 12.”</w:t>
      </w:r>
      <w:r w:rsidRPr="00B9191B">
        <w:rPr>
          <w:rStyle w:val="FootnoteReference"/>
          <w:rFonts w:asciiTheme="majorBidi" w:hAnsiTheme="majorBidi" w:cstheme="majorBidi"/>
        </w:rPr>
        <w:footnoteReference w:id="57"/>
      </w:r>
      <w:r w:rsidRPr="00B9191B">
        <w:rPr>
          <w:rFonts w:asciiTheme="majorBidi" w:hAnsiTheme="majorBidi" w:cstheme="majorBidi"/>
        </w:rPr>
        <w:t xml:space="preserve">  Thus, the very legislation </w:t>
      </w:r>
      <w:r w:rsidR="00BB18B9">
        <w:rPr>
          <w:rFonts w:asciiTheme="majorBidi" w:hAnsiTheme="majorBidi" w:cstheme="majorBidi"/>
        </w:rPr>
        <w:t>the District contends</w:t>
      </w:r>
      <w:r w:rsidR="00C9076D" w:rsidRPr="00B9191B">
        <w:rPr>
          <w:rFonts w:asciiTheme="majorBidi" w:hAnsiTheme="majorBidi" w:cstheme="majorBidi"/>
        </w:rPr>
        <w:t xml:space="preserve"> makes its contract incontestable actually </w:t>
      </w:r>
      <w:r w:rsidR="00BB18B9">
        <w:rPr>
          <w:rFonts w:asciiTheme="majorBidi" w:hAnsiTheme="majorBidi" w:cstheme="majorBidi"/>
        </w:rPr>
        <w:t>confirms</w:t>
      </w:r>
      <w:r w:rsidRPr="00B9191B">
        <w:rPr>
          <w:rFonts w:asciiTheme="majorBidi" w:hAnsiTheme="majorBidi" w:cstheme="majorBidi"/>
        </w:rPr>
        <w:t xml:space="preserve"> the Commission’s jurisdiction to review and set rates.</w:t>
      </w:r>
      <w:r w:rsidRPr="00B9191B">
        <w:rPr>
          <w:rStyle w:val="FootnoteReference"/>
          <w:rFonts w:asciiTheme="majorBidi" w:hAnsiTheme="majorBidi" w:cstheme="majorBidi"/>
        </w:rPr>
        <w:footnoteReference w:id="58"/>
      </w:r>
    </w:p>
    <w:p w14:paraId="28B26EF2" w14:textId="497B8593" w:rsidR="00AE274C" w:rsidRPr="00B9191B" w:rsidRDefault="00AE274C" w:rsidP="00677F41">
      <w:pPr>
        <w:pStyle w:val="Heading2"/>
      </w:pPr>
      <w:bookmarkStart w:id="42" w:name="_Toc507084065"/>
      <w:bookmarkStart w:id="43" w:name="_Toc507084392"/>
      <w:bookmarkStart w:id="44" w:name="_Toc507619269"/>
      <w:bookmarkStart w:id="45" w:name="_Toc479288764"/>
      <w:bookmarkStart w:id="46" w:name="_Toc481155427"/>
      <w:bookmarkStart w:id="47" w:name="_Toc481155648"/>
      <w:bookmarkStart w:id="48" w:name="_Toc481172516"/>
      <w:r w:rsidRPr="00B9191B">
        <w:t xml:space="preserve">Even the Contract </w:t>
      </w:r>
      <w:r w:rsidR="00BB18B9">
        <w:t>Confirm</w:t>
      </w:r>
      <w:r w:rsidR="00F209AB">
        <w:t>s</w:t>
      </w:r>
      <w:r w:rsidRPr="00B9191B">
        <w:t xml:space="preserve"> the </w:t>
      </w:r>
      <w:r w:rsidR="00242643" w:rsidRPr="00B9191B">
        <w:t>Commission’s Jurisdiction</w:t>
      </w:r>
      <w:bookmarkEnd w:id="42"/>
      <w:bookmarkEnd w:id="43"/>
      <w:bookmarkEnd w:id="44"/>
    </w:p>
    <w:p w14:paraId="5E4AB365" w14:textId="7108A948" w:rsidR="002D19C0" w:rsidRPr="00B9191B" w:rsidRDefault="002D19C0" w:rsidP="00677F41">
      <w:pPr>
        <w:tabs>
          <w:tab w:val="num" w:pos="0"/>
        </w:tabs>
        <w:spacing w:after="120" w:line="360" w:lineRule="auto"/>
        <w:outlineLvl w:val="0"/>
        <w:rPr>
          <w:rFonts w:asciiTheme="majorBidi" w:eastAsiaTheme="majorEastAsia" w:hAnsiTheme="majorBidi" w:cstheme="majorBidi"/>
        </w:rPr>
      </w:pPr>
      <w:r w:rsidRPr="00B9191B">
        <w:rPr>
          <w:rFonts w:asciiTheme="majorBidi" w:eastAsiaTheme="majorEastAsia" w:hAnsiTheme="majorBidi" w:cstheme="majorBidi"/>
        </w:rPr>
        <w:tab/>
        <w:t>Section 15 of the contract provides:</w:t>
      </w:r>
    </w:p>
    <w:p w14:paraId="5E7DAA23" w14:textId="6DA5D63B" w:rsidR="002D19C0" w:rsidRPr="00B9191B" w:rsidRDefault="002D19C0" w:rsidP="00677F41">
      <w:pPr>
        <w:tabs>
          <w:tab w:val="num" w:pos="0"/>
        </w:tabs>
        <w:spacing w:after="120"/>
        <w:ind w:left="1440" w:right="1440"/>
        <w:outlineLvl w:val="0"/>
        <w:rPr>
          <w:rFonts w:asciiTheme="majorBidi" w:eastAsiaTheme="majorEastAsia" w:hAnsiTheme="majorBidi" w:cstheme="majorBidi"/>
        </w:rPr>
      </w:pPr>
      <w:r w:rsidRPr="00B9191B">
        <w:rPr>
          <w:rFonts w:asciiTheme="majorBidi" w:eastAsiaTheme="majorEastAsia" w:hAnsiTheme="majorBidi" w:cstheme="majorBidi"/>
        </w:rPr>
        <w:t xml:space="preserve">This Contract is subject to all applicable Federal and State laws and any applicable permits, ordinances, rules, orders, and </w:t>
      </w:r>
      <w:r w:rsidRPr="00B9191B">
        <w:rPr>
          <w:rFonts w:asciiTheme="majorBidi" w:eastAsiaTheme="majorEastAsia" w:hAnsiTheme="majorBidi" w:cstheme="majorBidi"/>
        </w:rPr>
        <w:lastRenderedPageBreak/>
        <w:t>regulations of any local, state, or federal governmental authority having or asserting jurisdiction ….</w:t>
      </w:r>
      <w:r w:rsidR="009D150D">
        <w:rPr>
          <w:rStyle w:val="FootnoteReference"/>
          <w:rFonts w:asciiTheme="majorBidi" w:eastAsiaTheme="majorEastAsia" w:hAnsiTheme="majorBidi" w:cstheme="majorBidi"/>
        </w:rPr>
        <w:footnoteReference w:id="59"/>
      </w:r>
    </w:p>
    <w:p w14:paraId="21443C1F" w14:textId="60E5C1F6" w:rsidR="002D19C0" w:rsidRPr="00B9191B" w:rsidRDefault="002D19C0" w:rsidP="00677F41">
      <w:pPr>
        <w:tabs>
          <w:tab w:val="num" w:pos="0"/>
        </w:tabs>
        <w:spacing w:after="120" w:line="360" w:lineRule="auto"/>
        <w:outlineLvl w:val="0"/>
        <w:rPr>
          <w:rFonts w:asciiTheme="majorBidi" w:eastAsiaTheme="majorEastAsia" w:hAnsiTheme="majorBidi" w:cstheme="majorBidi"/>
        </w:rPr>
      </w:pPr>
      <w:r w:rsidRPr="00B9191B">
        <w:rPr>
          <w:rFonts w:asciiTheme="majorBidi" w:eastAsiaTheme="majorEastAsia" w:hAnsiTheme="majorBidi" w:cstheme="majorBidi"/>
        </w:rPr>
        <w:tab/>
        <w:t xml:space="preserve">Thus, </w:t>
      </w:r>
      <w:r w:rsidR="008657B8">
        <w:rPr>
          <w:rFonts w:asciiTheme="majorBidi" w:eastAsiaTheme="majorEastAsia" w:hAnsiTheme="majorBidi" w:cstheme="majorBidi"/>
        </w:rPr>
        <w:t xml:space="preserve">the contract that the District argues </w:t>
      </w:r>
      <w:r w:rsidR="00BB18B9">
        <w:rPr>
          <w:rFonts w:asciiTheme="majorBidi" w:eastAsiaTheme="majorEastAsia" w:hAnsiTheme="majorBidi" w:cstheme="majorBidi"/>
        </w:rPr>
        <w:t>shields</w:t>
      </w:r>
      <w:r w:rsidR="008657B8">
        <w:rPr>
          <w:rFonts w:asciiTheme="majorBidi" w:eastAsiaTheme="majorEastAsia" w:hAnsiTheme="majorBidi" w:cstheme="majorBidi"/>
        </w:rPr>
        <w:t xml:space="preserve"> its rates from Com</w:t>
      </w:r>
      <w:r w:rsidR="001B5540">
        <w:rPr>
          <w:rFonts w:asciiTheme="majorBidi" w:eastAsiaTheme="majorEastAsia" w:hAnsiTheme="majorBidi" w:cstheme="majorBidi"/>
        </w:rPr>
        <w:t>mission review actually confirms</w:t>
      </w:r>
      <w:r w:rsidR="008657B8">
        <w:rPr>
          <w:rFonts w:asciiTheme="majorBidi" w:eastAsiaTheme="majorEastAsia" w:hAnsiTheme="majorBidi" w:cstheme="majorBidi"/>
        </w:rPr>
        <w:t xml:space="preserve"> the Commission’s jurisdiction. </w:t>
      </w:r>
    </w:p>
    <w:p w14:paraId="3BB19844" w14:textId="3D80A4B4" w:rsidR="00954258" w:rsidRPr="00B9191B" w:rsidRDefault="00954258" w:rsidP="00FE5A34">
      <w:pPr>
        <w:pStyle w:val="Heading2"/>
      </w:pPr>
      <w:bookmarkStart w:id="49" w:name="_Toc507084066"/>
      <w:bookmarkStart w:id="50" w:name="_Toc507084393"/>
      <w:bookmarkStart w:id="51" w:name="_Toc507619270"/>
      <w:r w:rsidRPr="00B9191B">
        <w:t xml:space="preserve">The </w:t>
      </w:r>
      <w:bookmarkEnd w:id="45"/>
      <w:bookmarkEnd w:id="46"/>
      <w:bookmarkEnd w:id="47"/>
      <w:bookmarkEnd w:id="48"/>
      <w:r w:rsidR="007637C9">
        <w:t>Commission’s Rate Review</w:t>
      </w:r>
      <w:r w:rsidR="00242643" w:rsidRPr="00B9191B">
        <w:t xml:space="preserve"> Will Not Impair the District’s Bonds</w:t>
      </w:r>
      <w:bookmarkEnd w:id="49"/>
      <w:bookmarkEnd w:id="50"/>
      <w:bookmarkEnd w:id="51"/>
    </w:p>
    <w:p w14:paraId="59BA0A3F" w14:textId="62D753AA" w:rsidR="003E743A" w:rsidRPr="00B9191B" w:rsidRDefault="003E743A" w:rsidP="00CC3606">
      <w:pPr>
        <w:spacing w:after="0" w:line="360" w:lineRule="auto"/>
        <w:ind w:firstLine="720"/>
        <w:rPr>
          <w:rFonts w:asciiTheme="majorBidi" w:hAnsiTheme="majorBidi" w:cstheme="majorBidi"/>
        </w:rPr>
      </w:pPr>
      <w:r w:rsidRPr="00B9191B">
        <w:rPr>
          <w:rFonts w:asciiTheme="majorBidi" w:hAnsiTheme="majorBidi" w:cstheme="majorBidi"/>
        </w:rPr>
        <w:t>In the end, t</w:t>
      </w:r>
      <w:r w:rsidR="00954258" w:rsidRPr="00B9191B">
        <w:rPr>
          <w:rFonts w:asciiTheme="majorBidi" w:hAnsiTheme="majorBidi" w:cstheme="majorBidi"/>
        </w:rPr>
        <w:t>he District</w:t>
      </w:r>
      <w:r w:rsidR="00F209AB">
        <w:rPr>
          <w:rFonts w:asciiTheme="majorBidi" w:hAnsiTheme="majorBidi" w:cstheme="majorBidi"/>
        </w:rPr>
        <w:t>’s</w:t>
      </w:r>
      <w:r w:rsidR="00954258" w:rsidRPr="00B9191B">
        <w:rPr>
          <w:rFonts w:asciiTheme="majorBidi" w:hAnsiTheme="majorBidi" w:cstheme="majorBidi"/>
        </w:rPr>
        <w:t xml:space="preserve"> conten</w:t>
      </w:r>
      <w:r w:rsidRPr="00B9191B">
        <w:rPr>
          <w:rFonts w:asciiTheme="majorBidi" w:hAnsiTheme="majorBidi" w:cstheme="majorBidi"/>
        </w:rPr>
        <w:t>tion is</w:t>
      </w:r>
      <w:r w:rsidR="00954258" w:rsidRPr="00B9191B">
        <w:rPr>
          <w:rFonts w:asciiTheme="majorBidi" w:hAnsiTheme="majorBidi" w:cstheme="majorBidi"/>
        </w:rPr>
        <w:t xml:space="preserve"> that any challenge to </w:t>
      </w:r>
      <w:r w:rsidRPr="00B9191B">
        <w:rPr>
          <w:rFonts w:asciiTheme="majorBidi" w:hAnsiTheme="majorBidi" w:cstheme="majorBidi"/>
        </w:rPr>
        <w:t>its co</w:t>
      </w:r>
      <w:r w:rsidR="00954258" w:rsidRPr="00B9191B">
        <w:rPr>
          <w:rFonts w:asciiTheme="majorBidi" w:hAnsiTheme="majorBidi" w:cstheme="majorBidi"/>
        </w:rPr>
        <w:t xml:space="preserve">ntract threatens its ability to service existing bond debt and to issue new bonds </w:t>
      </w:r>
      <w:r w:rsidR="008657B8">
        <w:rPr>
          <w:rFonts w:asciiTheme="majorBidi" w:hAnsiTheme="majorBidi" w:cstheme="majorBidi"/>
        </w:rPr>
        <w:t xml:space="preserve">because </w:t>
      </w:r>
      <w:r w:rsidR="00954258" w:rsidRPr="00B9191B">
        <w:rPr>
          <w:rFonts w:asciiTheme="majorBidi" w:hAnsiTheme="majorBidi" w:cstheme="majorBidi"/>
        </w:rPr>
        <w:t xml:space="preserve">its bonds are secured by the </w:t>
      </w:r>
      <w:r w:rsidRPr="00B9191B">
        <w:rPr>
          <w:rFonts w:asciiTheme="majorBidi" w:hAnsiTheme="majorBidi" w:cstheme="majorBidi"/>
        </w:rPr>
        <w:t>c</w:t>
      </w:r>
      <w:r w:rsidR="00954258" w:rsidRPr="00B9191B">
        <w:rPr>
          <w:rFonts w:asciiTheme="majorBidi" w:hAnsiTheme="majorBidi" w:cstheme="majorBidi"/>
        </w:rPr>
        <w:t>ontract’s proceeds.</w:t>
      </w:r>
      <w:r w:rsidR="00A474B8" w:rsidRPr="00B9191B">
        <w:rPr>
          <w:rStyle w:val="FootnoteReference"/>
          <w:rFonts w:asciiTheme="majorBidi" w:hAnsiTheme="majorBidi" w:cstheme="majorBidi"/>
        </w:rPr>
        <w:footnoteReference w:id="60"/>
      </w:r>
      <w:r w:rsidR="00954258" w:rsidRPr="00B9191B">
        <w:rPr>
          <w:rFonts w:asciiTheme="majorBidi" w:hAnsiTheme="majorBidi" w:cstheme="majorBidi"/>
        </w:rPr>
        <w:t xml:space="preserve">  </w:t>
      </w:r>
    </w:p>
    <w:p w14:paraId="260A2A4A" w14:textId="3C986C25" w:rsidR="00A4614C" w:rsidRPr="00B9191B" w:rsidRDefault="003E743A" w:rsidP="00CC3606">
      <w:pPr>
        <w:spacing w:after="0" w:line="360" w:lineRule="auto"/>
        <w:ind w:firstLine="720"/>
        <w:rPr>
          <w:rFonts w:asciiTheme="majorBidi" w:hAnsiTheme="majorBidi" w:cstheme="majorBidi"/>
        </w:rPr>
      </w:pPr>
      <w:r w:rsidRPr="00B9191B">
        <w:rPr>
          <w:rFonts w:asciiTheme="majorBidi" w:hAnsiTheme="majorBidi" w:cstheme="majorBidi"/>
        </w:rPr>
        <w:t>The District’s contention is irrelevant. T</w:t>
      </w:r>
      <w:r w:rsidR="00954258" w:rsidRPr="00B9191B">
        <w:rPr>
          <w:rFonts w:asciiTheme="majorBidi" w:hAnsiTheme="majorBidi" w:cstheme="majorBidi"/>
        </w:rPr>
        <w:t>he Legislature in Section</w:t>
      </w:r>
      <w:r w:rsidRPr="00B9191B">
        <w:rPr>
          <w:rFonts w:asciiTheme="majorBidi" w:hAnsiTheme="majorBidi" w:cstheme="majorBidi"/>
        </w:rPr>
        <w:t>s 12.013 and</w:t>
      </w:r>
      <w:r w:rsidR="00954258" w:rsidRPr="00B9191B">
        <w:rPr>
          <w:rFonts w:asciiTheme="majorBidi" w:hAnsiTheme="majorBidi" w:cstheme="majorBidi"/>
        </w:rPr>
        <w:t xml:space="preserve"> 13.043(f) of the Texas Water Code did not deprive the </w:t>
      </w:r>
      <w:r w:rsidR="00B9191B" w:rsidRPr="00B9191B">
        <w:rPr>
          <w:rFonts w:asciiTheme="majorBidi" w:hAnsiTheme="majorBidi" w:cstheme="majorBidi"/>
        </w:rPr>
        <w:t>Commission</w:t>
      </w:r>
      <w:r w:rsidR="00954258" w:rsidRPr="00B9191B">
        <w:rPr>
          <w:rFonts w:asciiTheme="majorBidi" w:hAnsiTheme="majorBidi" w:cstheme="majorBidi"/>
        </w:rPr>
        <w:t xml:space="preserve"> of jurisdiction when a water district has issued or will issue bonds</w:t>
      </w:r>
      <w:r w:rsidR="002D19C0" w:rsidRPr="00B9191B">
        <w:rPr>
          <w:rFonts w:asciiTheme="majorBidi" w:hAnsiTheme="majorBidi" w:cstheme="majorBidi"/>
        </w:rPr>
        <w:t xml:space="preserve">.  </w:t>
      </w:r>
      <w:r w:rsidR="00A4614C" w:rsidRPr="00B9191B">
        <w:rPr>
          <w:rFonts w:asciiTheme="majorBidi" w:hAnsiTheme="majorBidi" w:cstheme="majorBidi"/>
        </w:rPr>
        <w:t xml:space="preserve">As the Commission </w:t>
      </w:r>
      <w:r w:rsidR="00B9191B" w:rsidRPr="00B9191B">
        <w:rPr>
          <w:rFonts w:asciiTheme="majorBidi" w:hAnsiTheme="majorBidi" w:cstheme="majorBidi"/>
        </w:rPr>
        <w:t>stated</w:t>
      </w:r>
      <w:r w:rsidR="00A4614C" w:rsidRPr="00B9191B">
        <w:rPr>
          <w:rFonts w:asciiTheme="majorBidi" w:hAnsiTheme="majorBidi" w:cstheme="majorBidi"/>
        </w:rPr>
        <w:t xml:space="preserve"> in </w:t>
      </w:r>
      <w:r w:rsidR="00C93B79">
        <w:rPr>
          <w:rFonts w:asciiTheme="majorBidi" w:hAnsiTheme="majorBidi" w:cstheme="majorBidi"/>
        </w:rPr>
        <w:t xml:space="preserve">in its Preliminary Order in </w:t>
      </w:r>
      <w:r w:rsidR="00A4614C" w:rsidRPr="00B9191B">
        <w:rPr>
          <w:rFonts w:asciiTheme="majorBidi" w:hAnsiTheme="majorBidi" w:cstheme="majorBidi"/>
        </w:rPr>
        <w:t>Docket No. 46662, the District’s position would “add language to both section 12.013 and 13.043 that the authority granted in each section does not apply to any municipality or political subdivision of the state that issues bonds,” which would be an “absurd result” as “[i]t is likely that any municipality or political subdivision of this state that is authorized to issue bonds has the protection of at least one incontestability provision” and “[u]nder the district’s reading, none of those entities would be subject to the Commission’s rate authority ….”</w:t>
      </w:r>
      <w:r w:rsidR="00A4614C" w:rsidRPr="00B9191B">
        <w:rPr>
          <w:rStyle w:val="FootnoteReference"/>
          <w:rFonts w:asciiTheme="majorBidi" w:hAnsiTheme="majorBidi" w:cstheme="majorBidi"/>
        </w:rPr>
        <w:footnoteReference w:id="61"/>
      </w:r>
      <w:r w:rsidR="005F1065" w:rsidRPr="00B9191B">
        <w:rPr>
          <w:rFonts w:asciiTheme="majorBidi" w:hAnsiTheme="majorBidi" w:cstheme="majorBidi"/>
        </w:rPr>
        <w:t xml:space="preserve">  </w:t>
      </w:r>
    </w:p>
    <w:p w14:paraId="267BC11C" w14:textId="07E41FBB" w:rsidR="00954258" w:rsidRPr="00B9191B" w:rsidRDefault="003E743A" w:rsidP="00CC3606">
      <w:pPr>
        <w:spacing w:after="0" w:line="360" w:lineRule="auto"/>
        <w:ind w:firstLine="720"/>
        <w:rPr>
          <w:rFonts w:asciiTheme="majorBidi" w:hAnsiTheme="majorBidi" w:cstheme="majorBidi"/>
        </w:rPr>
      </w:pPr>
      <w:r w:rsidRPr="00B9191B">
        <w:rPr>
          <w:rFonts w:asciiTheme="majorBidi" w:hAnsiTheme="majorBidi" w:cstheme="majorBidi"/>
        </w:rPr>
        <w:t>The District’s contention is also unfounded</w:t>
      </w:r>
      <w:r w:rsidR="002D19C0" w:rsidRPr="00B9191B">
        <w:rPr>
          <w:rFonts w:asciiTheme="majorBidi" w:hAnsiTheme="majorBidi" w:cstheme="majorBidi"/>
        </w:rPr>
        <w:t>.  First</w:t>
      </w:r>
      <w:r w:rsidR="00CC3606" w:rsidRPr="00B9191B">
        <w:rPr>
          <w:rFonts w:asciiTheme="majorBidi" w:hAnsiTheme="majorBidi" w:cstheme="majorBidi"/>
        </w:rPr>
        <w:t xml:space="preserve">, </w:t>
      </w:r>
      <w:r w:rsidR="00954258" w:rsidRPr="00B9191B">
        <w:rPr>
          <w:rFonts w:asciiTheme="majorBidi" w:hAnsiTheme="majorBidi" w:cstheme="majorBidi"/>
        </w:rPr>
        <w:t xml:space="preserve">the general covenants of the resolution authorizing issuance of the District’s bonds provide that the </w:t>
      </w:r>
      <w:r w:rsidRPr="00B9191B">
        <w:rPr>
          <w:rFonts w:asciiTheme="majorBidi" w:hAnsiTheme="majorBidi" w:cstheme="majorBidi"/>
        </w:rPr>
        <w:t>c</w:t>
      </w:r>
      <w:r w:rsidR="00954258" w:rsidRPr="00B9191B">
        <w:rPr>
          <w:rFonts w:asciiTheme="majorBidi" w:hAnsiTheme="majorBidi" w:cstheme="majorBidi"/>
        </w:rPr>
        <w:t>ontract’s payment provisions may be modified or amended.</w:t>
      </w:r>
      <w:r w:rsidR="00CC3606" w:rsidRPr="00B9191B">
        <w:rPr>
          <w:rStyle w:val="FootnoteReference"/>
          <w:rFonts w:asciiTheme="majorBidi" w:hAnsiTheme="majorBidi" w:cstheme="majorBidi"/>
        </w:rPr>
        <w:footnoteReference w:id="62"/>
      </w:r>
      <w:r w:rsidR="00954258" w:rsidRPr="00B9191B">
        <w:rPr>
          <w:rFonts w:asciiTheme="majorBidi" w:hAnsiTheme="majorBidi" w:cstheme="majorBidi"/>
        </w:rPr>
        <w:t xml:space="preserve"> </w:t>
      </w:r>
      <w:bookmarkStart w:id="52" w:name="_Hlk507050362"/>
      <w:r w:rsidR="00CC3606" w:rsidRPr="00B9191B">
        <w:rPr>
          <w:rFonts w:asciiTheme="majorBidi" w:hAnsiTheme="majorBidi" w:cstheme="majorBidi"/>
          <w:iCs/>
        </w:rPr>
        <w:t>Second,</w:t>
      </w:r>
      <w:bookmarkEnd w:id="52"/>
      <w:r w:rsidR="00CC3606" w:rsidRPr="00B9191B">
        <w:rPr>
          <w:rFonts w:asciiTheme="majorBidi" w:hAnsiTheme="majorBidi" w:cstheme="majorBidi"/>
          <w:iCs/>
        </w:rPr>
        <w:t xml:space="preserve"> </w:t>
      </w:r>
      <w:r w:rsidR="00CC3606" w:rsidRPr="00B9191B">
        <w:rPr>
          <w:rFonts w:asciiTheme="majorBidi" w:hAnsiTheme="majorBidi" w:cstheme="majorBidi"/>
        </w:rPr>
        <w:t>the Commission’s r</w:t>
      </w:r>
      <w:r w:rsidR="00954258" w:rsidRPr="00B9191B">
        <w:rPr>
          <w:rFonts w:asciiTheme="majorBidi" w:hAnsiTheme="majorBidi" w:cstheme="majorBidi"/>
        </w:rPr>
        <w:t xml:space="preserve">ules require the </w:t>
      </w:r>
      <w:r w:rsidR="00CC3606" w:rsidRPr="00B9191B">
        <w:rPr>
          <w:rFonts w:asciiTheme="majorBidi" w:hAnsiTheme="majorBidi" w:cstheme="majorBidi"/>
        </w:rPr>
        <w:t>Commission</w:t>
      </w:r>
      <w:r w:rsidR="00954258" w:rsidRPr="00B9191B">
        <w:rPr>
          <w:rFonts w:asciiTheme="majorBidi" w:hAnsiTheme="majorBidi" w:cstheme="majorBidi"/>
        </w:rPr>
        <w:t xml:space="preserve"> to set a rate considerate of the District’s bo</w:t>
      </w:r>
      <w:r w:rsidR="008657B8">
        <w:rPr>
          <w:rFonts w:asciiTheme="majorBidi" w:hAnsiTheme="majorBidi" w:cstheme="majorBidi"/>
        </w:rPr>
        <w:t>nd costs: t</w:t>
      </w:r>
      <w:r w:rsidR="00CC3606" w:rsidRPr="00B9191B">
        <w:rPr>
          <w:rFonts w:asciiTheme="majorBidi" w:hAnsiTheme="majorBidi" w:cstheme="majorBidi"/>
        </w:rPr>
        <w:t xml:space="preserve">he Commission’s </w:t>
      </w:r>
      <w:r w:rsidR="008657B8">
        <w:rPr>
          <w:rFonts w:asciiTheme="majorBidi" w:hAnsiTheme="majorBidi" w:cstheme="majorBidi"/>
        </w:rPr>
        <w:t xml:space="preserve">rate appeal </w:t>
      </w:r>
      <w:r w:rsidR="00CC3606" w:rsidRPr="00B9191B">
        <w:rPr>
          <w:rFonts w:asciiTheme="majorBidi" w:hAnsiTheme="majorBidi" w:cstheme="majorBidi"/>
        </w:rPr>
        <w:t>rules</w:t>
      </w:r>
      <w:r w:rsidR="00954258" w:rsidRPr="00B9191B">
        <w:rPr>
          <w:rFonts w:asciiTheme="majorBidi" w:hAnsiTheme="majorBidi" w:cstheme="majorBidi"/>
        </w:rPr>
        <w:t xml:space="preserve"> require the </w:t>
      </w:r>
      <w:r w:rsidR="00CC3606" w:rsidRPr="00B9191B">
        <w:rPr>
          <w:rFonts w:asciiTheme="majorBidi" w:hAnsiTheme="majorBidi" w:cstheme="majorBidi"/>
        </w:rPr>
        <w:t>Commission</w:t>
      </w:r>
      <w:r w:rsidR="00954258" w:rsidRPr="00B9191B">
        <w:rPr>
          <w:rFonts w:asciiTheme="majorBidi" w:hAnsiTheme="majorBidi" w:cstheme="majorBidi"/>
        </w:rPr>
        <w:t xml:space="preserve"> to set rates consistent with Chapter 12 of the Texas Water Code,</w:t>
      </w:r>
      <w:r w:rsidR="00FF66A8" w:rsidRPr="00B9191B">
        <w:rPr>
          <w:rStyle w:val="FootnoteReference"/>
          <w:rFonts w:asciiTheme="majorBidi" w:hAnsiTheme="majorBidi" w:cstheme="majorBidi"/>
        </w:rPr>
        <w:footnoteReference w:id="63"/>
      </w:r>
      <w:r w:rsidR="00954258" w:rsidRPr="00B9191B">
        <w:rPr>
          <w:rFonts w:asciiTheme="majorBidi" w:hAnsiTheme="majorBidi" w:cstheme="majorBidi"/>
          <w:vertAlign w:val="superscript"/>
        </w:rPr>
        <w:t xml:space="preserve"> </w:t>
      </w:r>
      <w:r w:rsidR="00954258" w:rsidRPr="00B9191B">
        <w:rPr>
          <w:rFonts w:asciiTheme="majorBidi" w:hAnsiTheme="majorBidi" w:cstheme="majorBidi"/>
        </w:rPr>
        <w:t xml:space="preserve"> which mandates that the </w:t>
      </w:r>
      <w:r w:rsidR="00F209AB">
        <w:rPr>
          <w:rFonts w:asciiTheme="majorBidi" w:hAnsiTheme="majorBidi" w:cstheme="majorBidi"/>
        </w:rPr>
        <w:t>Commission</w:t>
      </w:r>
      <w:r w:rsidR="00954258" w:rsidRPr="00B9191B">
        <w:rPr>
          <w:rFonts w:asciiTheme="majorBidi" w:hAnsiTheme="majorBidi" w:cstheme="majorBidi"/>
        </w:rPr>
        <w:t xml:space="preserve"> “may not fix a rate … which is less than the amount required to meet the </w:t>
      </w:r>
      <w:r w:rsidR="00954258" w:rsidRPr="00B9191B">
        <w:rPr>
          <w:rFonts w:asciiTheme="majorBidi" w:hAnsiTheme="majorBidi" w:cstheme="majorBidi"/>
        </w:rPr>
        <w:lastRenderedPageBreak/>
        <w:t>debt service and bond coverage requirements of that political subdivision’s outstanding debt.”</w:t>
      </w:r>
      <w:r w:rsidR="00FF66A8" w:rsidRPr="00B9191B">
        <w:rPr>
          <w:rStyle w:val="FootnoteReference"/>
          <w:rFonts w:asciiTheme="majorBidi" w:hAnsiTheme="majorBidi" w:cstheme="majorBidi"/>
        </w:rPr>
        <w:footnoteReference w:id="64"/>
      </w:r>
      <w:r w:rsidR="00954258" w:rsidRPr="00B9191B">
        <w:rPr>
          <w:rFonts w:asciiTheme="majorBidi" w:hAnsiTheme="majorBidi" w:cstheme="majorBidi"/>
        </w:rPr>
        <w:t xml:space="preserve">  </w:t>
      </w:r>
      <w:r w:rsidR="00F209AB">
        <w:rPr>
          <w:rFonts w:asciiTheme="majorBidi" w:hAnsiTheme="majorBidi" w:cstheme="majorBidi"/>
        </w:rPr>
        <w:t>Finally</w:t>
      </w:r>
      <w:r w:rsidR="005D2AFF" w:rsidRPr="00B9191B">
        <w:rPr>
          <w:rFonts w:asciiTheme="majorBidi" w:hAnsiTheme="majorBidi" w:cstheme="majorBidi"/>
        </w:rPr>
        <w:t xml:space="preserve">, </w:t>
      </w:r>
      <w:r w:rsidRPr="00B9191B">
        <w:rPr>
          <w:rFonts w:asciiTheme="majorBidi" w:hAnsiTheme="majorBidi" w:cstheme="majorBidi"/>
        </w:rPr>
        <w:t>a</w:t>
      </w:r>
      <w:r w:rsidR="005D2AFF" w:rsidRPr="00B9191B">
        <w:rPr>
          <w:rFonts w:asciiTheme="majorBidi" w:hAnsiTheme="majorBidi" w:cstheme="majorBidi"/>
        </w:rPr>
        <w:t xml:space="preserve">s the Commission stated in Docket No. 46662, the District </w:t>
      </w:r>
      <w:r w:rsidR="00F209AB">
        <w:rPr>
          <w:rFonts w:asciiTheme="majorBidi" w:hAnsiTheme="majorBidi" w:cstheme="majorBidi"/>
        </w:rPr>
        <w:t>is mistaken to imply</w:t>
      </w:r>
      <w:r w:rsidR="005D2AFF" w:rsidRPr="00B9191B">
        <w:rPr>
          <w:rFonts w:asciiTheme="majorBidi" w:hAnsiTheme="majorBidi" w:cstheme="majorBidi"/>
        </w:rPr>
        <w:t xml:space="preserve"> “that this Commission may not understand the importance and intricacies of debt financing</w:t>
      </w:r>
      <w:r w:rsidRPr="00B9191B">
        <w:rPr>
          <w:rFonts w:asciiTheme="majorBidi" w:hAnsiTheme="majorBidi" w:cstheme="majorBidi"/>
        </w:rPr>
        <w:t>” because</w:t>
      </w:r>
      <w:r w:rsidR="005D2AFF" w:rsidRPr="00B9191B">
        <w:rPr>
          <w:rFonts w:asciiTheme="majorBidi" w:hAnsiTheme="majorBidi" w:cstheme="majorBidi"/>
        </w:rPr>
        <w:t xml:space="preserve"> “[t]he Commission understands the debt market, borrowers’ financial ratings, risk factors, and other such matters and deals with these massive amounts of debt in setting rates on a regular and recurring basis and has for nearly fifty years.”</w:t>
      </w:r>
      <w:r w:rsidR="005D2AFF" w:rsidRPr="00B9191B">
        <w:rPr>
          <w:rStyle w:val="FootnoteReference"/>
          <w:rFonts w:asciiTheme="majorBidi" w:hAnsiTheme="majorBidi" w:cstheme="majorBidi"/>
        </w:rPr>
        <w:footnoteReference w:id="65"/>
      </w:r>
    </w:p>
    <w:p w14:paraId="1CE778EA" w14:textId="097FCB51" w:rsidR="00CC3606" w:rsidRPr="00677F41" w:rsidRDefault="00677F41" w:rsidP="00C07070">
      <w:pPr>
        <w:pStyle w:val="Heading1"/>
        <w:rPr>
          <w:rFonts w:asciiTheme="majorBidi" w:hAnsiTheme="majorBidi" w:cstheme="majorBidi"/>
        </w:rPr>
      </w:pPr>
      <w:r w:rsidRPr="00677F41">
        <w:rPr>
          <w:rFonts w:hint="eastAsia"/>
        </w:rPr>
        <w:br/>
      </w:r>
      <w:bookmarkStart w:id="53" w:name="_Toc507084067"/>
      <w:bookmarkStart w:id="54" w:name="_Toc507084394"/>
      <w:bookmarkStart w:id="55" w:name="_Toc507619271"/>
      <w:r w:rsidR="00CC3606" w:rsidRPr="00677F41">
        <w:rPr>
          <w:rFonts w:asciiTheme="majorBidi" w:hAnsiTheme="majorBidi" w:cstheme="majorBidi"/>
        </w:rPr>
        <w:t>Conclusion</w:t>
      </w:r>
      <w:bookmarkEnd w:id="53"/>
      <w:bookmarkEnd w:id="54"/>
      <w:bookmarkEnd w:id="55"/>
    </w:p>
    <w:p w14:paraId="7598F052" w14:textId="606F700F" w:rsidR="003E4A0E" w:rsidRPr="00B9191B" w:rsidRDefault="005F1065" w:rsidP="00C07070">
      <w:pPr>
        <w:spacing w:after="0" w:line="360" w:lineRule="auto"/>
        <w:rPr>
          <w:rFonts w:asciiTheme="majorBidi" w:hAnsiTheme="majorBidi" w:cstheme="majorBidi"/>
          <w:bCs/>
          <w:iCs/>
        </w:rPr>
      </w:pPr>
      <w:r w:rsidRPr="00B9191B">
        <w:rPr>
          <w:rFonts w:asciiTheme="majorBidi" w:hAnsiTheme="majorBidi" w:cstheme="majorBidi"/>
          <w:b/>
          <w:bCs/>
          <w:smallCaps/>
        </w:rPr>
        <w:tab/>
      </w:r>
      <w:r w:rsidR="00F209AB">
        <w:rPr>
          <w:rFonts w:asciiTheme="majorBidi" w:hAnsiTheme="majorBidi" w:cstheme="majorBidi"/>
          <w:bCs/>
        </w:rPr>
        <w:t xml:space="preserve">The District’s </w:t>
      </w:r>
      <w:r w:rsidR="00066647">
        <w:rPr>
          <w:rFonts w:asciiTheme="majorBidi" w:hAnsiTheme="majorBidi" w:cstheme="majorBidi"/>
          <w:bCs/>
        </w:rPr>
        <w:t>incorrect</w:t>
      </w:r>
      <w:r w:rsidR="00F209AB">
        <w:rPr>
          <w:rFonts w:asciiTheme="majorBidi" w:hAnsiTheme="majorBidi" w:cstheme="majorBidi"/>
          <w:bCs/>
        </w:rPr>
        <w:t xml:space="preserve"> theories </w:t>
      </w:r>
      <w:r w:rsidR="00066647">
        <w:rPr>
          <w:rFonts w:asciiTheme="majorBidi" w:hAnsiTheme="majorBidi" w:cstheme="majorBidi"/>
          <w:bCs/>
        </w:rPr>
        <w:t xml:space="preserve">regarding the jurisdiction of the Commission over this case </w:t>
      </w:r>
      <w:r w:rsidR="00F209AB">
        <w:rPr>
          <w:rFonts w:asciiTheme="majorBidi" w:hAnsiTheme="majorBidi" w:cstheme="majorBidi"/>
          <w:bCs/>
        </w:rPr>
        <w:t xml:space="preserve">conflict with the governing statute, the Commission’s rate appeal rules, and relevant case law.  </w:t>
      </w:r>
      <w:r w:rsidR="008657B8">
        <w:rPr>
          <w:rFonts w:asciiTheme="majorBidi" w:hAnsiTheme="majorBidi" w:cstheme="majorBidi"/>
          <w:bCs/>
        </w:rPr>
        <w:t>The</w:t>
      </w:r>
      <w:r w:rsidR="00F209AB">
        <w:rPr>
          <w:rFonts w:asciiTheme="majorBidi" w:hAnsiTheme="majorBidi" w:cstheme="majorBidi"/>
          <w:bCs/>
        </w:rPr>
        <w:t xml:space="preserve"> Commission rightly rejected </w:t>
      </w:r>
      <w:r w:rsidR="008657B8">
        <w:rPr>
          <w:rFonts w:asciiTheme="majorBidi" w:hAnsiTheme="majorBidi" w:cstheme="majorBidi"/>
          <w:bCs/>
        </w:rPr>
        <w:t>them</w:t>
      </w:r>
      <w:r w:rsidR="00F209AB">
        <w:rPr>
          <w:rFonts w:asciiTheme="majorBidi" w:hAnsiTheme="majorBidi" w:cstheme="majorBidi"/>
          <w:bCs/>
        </w:rPr>
        <w:t xml:space="preserve"> less than a year ago.  A</w:t>
      </w:r>
      <w:r w:rsidRPr="00B9191B">
        <w:rPr>
          <w:rFonts w:asciiTheme="majorBidi" w:hAnsiTheme="majorBidi" w:cstheme="majorBidi"/>
          <w:bCs/>
        </w:rPr>
        <w:t xml:space="preserve">s the Commission observed in its </w:t>
      </w:r>
      <w:r w:rsidR="00066647">
        <w:rPr>
          <w:rFonts w:asciiTheme="majorBidi" w:hAnsiTheme="majorBidi" w:cstheme="majorBidi"/>
          <w:bCs/>
        </w:rPr>
        <w:t>P</w:t>
      </w:r>
      <w:r w:rsidRPr="00B9191B">
        <w:rPr>
          <w:rFonts w:asciiTheme="majorBidi" w:hAnsiTheme="majorBidi" w:cstheme="majorBidi"/>
          <w:bCs/>
        </w:rPr>
        <w:t xml:space="preserve">reliminary </w:t>
      </w:r>
      <w:r w:rsidR="00066647">
        <w:rPr>
          <w:rFonts w:asciiTheme="majorBidi" w:hAnsiTheme="majorBidi" w:cstheme="majorBidi"/>
          <w:bCs/>
        </w:rPr>
        <w:t>O</w:t>
      </w:r>
      <w:r w:rsidRPr="00B9191B">
        <w:rPr>
          <w:rFonts w:asciiTheme="majorBidi" w:hAnsiTheme="majorBidi" w:cstheme="majorBidi"/>
          <w:bCs/>
        </w:rPr>
        <w:t xml:space="preserve">rder in Docket No. 46662, the District </w:t>
      </w:r>
      <w:r w:rsidR="00066647">
        <w:rPr>
          <w:rFonts w:asciiTheme="majorBidi" w:hAnsiTheme="majorBidi" w:cstheme="majorBidi"/>
          <w:bCs/>
        </w:rPr>
        <w:t xml:space="preserve">actually </w:t>
      </w:r>
      <w:r w:rsidRPr="00B9191B">
        <w:rPr>
          <w:rFonts w:asciiTheme="majorBidi" w:hAnsiTheme="majorBidi" w:cstheme="majorBidi"/>
          <w:bCs/>
        </w:rPr>
        <w:t>should be “agnostic” with respect to its rates and rate allocation “so long as sufficient funds are obtained to properly service and secure its outstanding bonds ….”</w:t>
      </w:r>
      <w:r w:rsidRPr="00B9191B">
        <w:rPr>
          <w:rStyle w:val="FootnoteReference"/>
          <w:rFonts w:asciiTheme="majorBidi" w:hAnsiTheme="majorBidi" w:cstheme="majorBidi"/>
          <w:bCs/>
        </w:rPr>
        <w:footnoteReference w:id="66"/>
      </w:r>
      <w:r w:rsidRPr="00B9191B">
        <w:rPr>
          <w:rFonts w:asciiTheme="majorBidi" w:hAnsiTheme="majorBidi" w:cstheme="majorBidi"/>
          <w:bCs/>
        </w:rPr>
        <w:t xml:space="preserve">  Yet, under the same discredited the</w:t>
      </w:r>
      <w:r w:rsidR="001B5540">
        <w:rPr>
          <w:rFonts w:asciiTheme="majorBidi" w:hAnsiTheme="majorBidi" w:cstheme="majorBidi"/>
          <w:bCs/>
        </w:rPr>
        <w:t>ories, the District continues to try to hide its rates from Commission scrutiny</w:t>
      </w:r>
      <w:r w:rsidRPr="00B9191B">
        <w:rPr>
          <w:rFonts w:asciiTheme="majorBidi" w:hAnsiTheme="majorBidi" w:cstheme="majorBidi"/>
          <w:bCs/>
        </w:rPr>
        <w:t xml:space="preserve">.  </w:t>
      </w:r>
      <w:r w:rsidR="001B5540">
        <w:rPr>
          <w:rFonts w:asciiTheme="majorBidi" w:hAnsiTheme="majorBidi" w:cstheme="majorBidi"/>
          <w:bCs/>
        </w:rPr>
        <w:t>The District’s M</w:t>
      </w:r>
      <w:r w:rsidR="00066647">
        <w:rPr>
          <w:rFonts w:asciiTheme="majorBidi" w:hAnsiTheme="majorBidi" w:cstheme="majorBidi"/>
          <w:bCs/>
        </w:rPr>
        <w:t xml:space="preserve">otion should be denied because </w:t>
      </w:r>
      <w:r w:rsidRPr="00B9191B">
        <w:rPr>
          <w:rFonts w:asciiTheme="majorBidi" w:hAnsiTheme="majorBidi" w:cstheme="majorBidi"/>
          <w:bCs/>
        </w:rPr>
        <w:t xml:space="preserve">Sections 12.013 and 13.043(f) of the Texas Water Code </w:t>
      </w:r>
      <w:r w:rsidR="00066647">
        <w:rPr>
          <w:rFonts w:asciiTheme="majorBidi" w:hAnsiTheme="majorBidi" w:cstheme="majorBidi"/>
          <w:bCs/>
        </w:rPr>
        <w:t>clearly grant jurisdiction to</w:t>
      </w:r>
      <w:r w:rsidRPr="00B9191B">
        <w:rPr>
          <w:rFonts w:asciiTheme="majorBidi" w:hAnsiTheme="majorBidi" w:cstheme="majorBidi"/>
          <w:bCs/>
        </w:rPr>
        <w:t xml:space="preserve"> the Commission to hear the Petitioning Cities’ appeal and to review and set </w:t>
      </w:r>
      <w:r w:rsidR="00066647">
        <w:rPr>
          <w:rFonts w:asciiTheme="majorBidi" w:hAnsiTheme="majorBidi" w:cstheme="majorBidi"/>
          <w:bCs/>
        </w:rPr>
        <w:t>just and reasonable rates</w:t>
      </w:r>
      <w:r w:rsidRPr="00B9191B">
        <w:rPr>
          <w:rFonts w:asciiTheme="majorBidi" w:hAnsiTheme="majorBidi" w:cstheme="majorBidi"/>
          <w:bCs/>
        </w:rPr>
        <w:t>.</w:t>
      </w:r>
    </w:p>
    <w:p w14:paraId="4E139709" w14:textId="77777777" w:rsidR="00C07070" w:rsidRDefault="00C07070">
      <w:pPr>
        <w:jc w:val="left"/>
        <w:rPr>
          <w:rFonts w:asciiTheme="majorBidi" w:hAnsiTheme="majorBidi" w:cstheme="majorBidi"/>
        </w:rPr>
      </w:pPr>
      <w:r>
        <w:rPr>
          <w:rFonts w:asciiTheme="majorBidi" w:hAnsiTheme="majorBidi" w:cstheme="majorBidi"/>
        </w:rPr>
        <w:br w:type="page"/>
      </w:r>
    </w:p>
    <w:p w14:paraId="4510535C" w14:textId="2446E032" w:rsidR="001373CE" w:rsidRPr="00B9191B" w:rsidRDefault="009D6A10" w:rsidP="00CC3606">
      <w:pPr>
        <w:spacing w:after="0" w:line="360" w:lineRule="auto"/>
        <w:ind w:left="4320" w:firstLine="720"/>
        <w:rPr>
          <w:rFonts w:asciiTheme="majorBidi" w:hAnsiTheme="majorBidi" w:cstheme="majorBidi"/>
        </w:rPr>
      </w:pPr>
      <w:r w:rsidRPr="00B9191B">
        <w:rPr>
          <w:rFonts w:asciiTheme="majorBidi" w:hAnsiTheme="majorBidi" w:cstheme="majorBidi"/>
        </w:rPr>
        <w:lastRenderedPageBreak/>
        <w:t xml:space="preserve">Respectfully </w:t>
      </w:r>
      <w:r w:rsidR="004C2A91" w:rsidRPr="00B9191B">
        <w:rPr>
          <w:rFonts w:asciiTheme="majorBidi" w:hAnsiTheme="majorBidi" w:cstheme="majorBidi"/>
        </w:rPr>
        <w:t>submitted</w:t>
      </w:r>
      <w:r w:rsidR="00D570AF" w:rsidRPr="00B9191B">
        <w:rPr>
          <w:rFonts w:asciiTheme="majorBidi" w:hAnsiTheme="majorBidi" w:cstheme="majorBidi"/>
        </w:rPr>
        <w:t>,</w:t>
      </w:r>
    </w:p>
    <w:p w14:paraId="45E8242D" w14:textId="6E124D4C" w:rsidR="00B33FB6" w:rsidRPr="00B9191B" w:rsidRDefault="00B56896" w:rsidP="005B515C">
      <w:pPr>
        <w:spacing w:after="0"/>
        <w:ind w:left="4140"/>
        <w:rPr>
          <w:rFonts w:asciiTheme="majorBidi" w:hAnsiTheme="majorBidi" w:cstheme="majorBidi"/>
        </w:rPr>
      </w:pPr>
      <w:r w:rsidRPr="00B9191B">
        <w:rPr>
          <w:rFonts w:asciiTheme="majorBidi" w:hAnsiTheme="majorBidi" w:cstheme="majorBidi"/>
        </w:rPr>
        <w:tab/>
      </w:r>
      <w:r w:rsidRPr="00B9191B">
        <w:rPr>
          <w:rFonts w:asciiTheme="majorBidi" w:hAnsiTheme="majorBidi" w:cstheme="majorBidi"/>
        </w:rPr>
        <w:tab/>
      </w:r>
    </w:p>
    <w:p w14:paraId="33AC9748" w14:textId="469FF7D2" w:rsidR="00B56896" w:rsidRPr="00B9191B" w:rsidRDefault="00CC3606" w:rsidP="005B515C">
      <w:pPr>
        <w:spacing w:after="0"/>
        <w:ind w:left="4140"/>
        <w:rPr>
          <w:rFonts w:asciiTheme="majorBidi" w:hAnsiTheme="majorBidi" w:cstheme="majorBidi"/>
        </w:rPr>
      </w:pPr>
      <w:r w:rsidRPr="00B9191B">
        <w:rPr>
          <w:rFonts w:asciiTheme="majorBidi" w:hAnsiTheme="majorBidi" w:cstheme="majorBidi"/>
        </w:rPr>
        <w:tab/>
      </w:r>
      <w:r w:rsidR="00B56896" w:rsidRPr="00B9191B">
        <w:rPr>
          <w:rFonts w:asciiTheme="majorBidi" w:hAnsiTheme="majorBidi" w:cstheme="majorBidi"/>
        </w:rPr>
        <w:tab/>
      </w:r>
      <w:r w:rsidRPr="00B9191B">
        <w:rPr>
          <w:rFonts w:asciiTheme="majorBidi" w:hAnsiTheme="majorBidi" w:cstheme="majorBidi"/>
        </w:rPr>
        <w:t>_________________________________</w:t>
      </w:r>
    </w:p>
    <w:p w14:paraId="7F346358" w14:textId="77777777" w:rsidR="00B56896" w:rsidRPr="00B9191B" w:rsidRDefault="00B56896" w:rsidP="005B515C">
      <w:pPr>
        <w:spacing w:after="0"/>
        <w:ind w:left="4140"/>
        <w:rPr>
          <w:rFonts w:asciiTheme="majorBidi" w:hAnsiTheme="majorBidi" w:cstheme="majorBidi"/>
        </w:rPr>
      </w:pPr>
    </w:p>
    <w:p w14:paraId="17D41E08" w14:textId="7F0D1FF4" w:rsidR="00B56896" w:rsidRPr="00B9191B" w:rsidRDefault="00B56896" w:rsidP="00C12319">
      <w:pPr>
        <w:pStyle w:val="BodyTextQuote1"/>
        <w:spacing w:after="0"/>
        <w:ind w:left="4320" w:right="0"/>
        <w:rPr>
          <w:rFonts w:asciiTheme="majorBidi" w:hAnsiTheme="majorBidi" w:cstheme="majorBidi"/>
        </w:rPr>
      </w:pPr>
      <w:r w:rsidRPr="00B9191B">
        <w:rPr>
          <w:rFonts w:asciiTheme="majorBidi" w:hAnsiTheme="majorBidi" w:cstheme="majorBidi"/>
        </w:rPr>
        <w:tab/>
        <w:t>Michael J. Tomsu</w:t>
      </w:r>
    </w:p>
    <w:p w14:paraId="4118909D" w14:textId="3DFBFA6D" w:rsidR="00B56896" w:rsidRPr="00B9191B" w:rsidRDefault="00022067" w:rsidP="00022067">
      <w:pPr>
        <w:pStyle w:val="BodyTextQuote1"/>
        <w:spacing w:after="0"/>
        <w:ind w:left="3600" w:right="0" w:firstLine="720"/>
        <w:rPr>
          <w:rFonts w:asciiTheme="majorBidi" w:hAnsiTheme="majorBidi" w:cstheme="majorBidi"/>
        </w:rPr>
      </w:pPr>
      <w:r w:rsidRPr="00B9191B">
        <w:rPr>
          <w:rFonts w:asciiTheme="majorBidi" w:hAnsiTheme="majorBidi" w:cstheme="majorBidi"/>
        </w:rPr>
        <w:tab/>
        <w:t>State Bar No. 20125875</w:t>
      </w:r>
    </w:p>
    <w:p w14:paraId="1C340487" w14:textId="488ED1CA" w:rsidR="00265052" w:rsidRPr="00B9191B" w:rsidRDefault="00CC3606" w:rsidP="00CC3606">
      <w:pPr>
        <w:spacing w:after="0"/>
        <w:rPr>
          <w:rFonts w:asciiTheme="majorBidi" w:hAnsiTheme="majorBidi" w:cstheme="majorBidi"/>
        </w:rPr>
      </w:pP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00265052" w:rsidRPr="00B9191B">
        <w:rPr>
          <w:rFonts w:asciiTheme="majorBidi" w:hAnsiTheme="majorBidi" w:cstheme="majorBidi"/>
        </w:rPr>
        <w:tab/>
      </w:r>
      <w:r w:rsidR="00265052" w:rsidRPr="00B9191B">
        <w:rPr>
          <w:rFonts w:asciiTheme="majorBidi" w:hAnsiTheme="majorBidi" w:cstheme="majorBidi"/>
        </w:rPr>
        <w:tab/>
        <w:t>Taylor Holcomb</w:t>
      </w:r>
    </w:p>
    <w:p w14:paraId="525DD1CC" w14:textId="24C5B083" w:rsidR="00265052" w:rsidRPr="00B9191B" w:rsidRDefault="00CC3606" w:rsidP="00CC3606">
      <w:pPr>
        <w:spacing w:after="0"/>
        <w:rPr>
          <w:rFonts w:asciiTheme="majorBidi" w:eastAsia="Times New Roman" w:hAnsiTheme="majorBidi" w:cstheme="majorBidi"/>
        </w:rPr>
      </w:pP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00265052" w:rsidRPr="00B9191B">
        <w:rPr>
          <w:rFonts w:asciiTheme="majorBidi" w:hAnsiTheme="majorBidi" w:cstheme="majorBidi"/>
        </w:rPr>
        <w:tab/>
      </w:r>
      <w:r w:rsidR="00265052" w:rsidRPr="00B9191B">
        <w:rPr>
          <w:rFonts w:asciiTheme="majorBidi" w:hAnsiTheme="majorBidi" w:cstheme="majorBidi"/>
        </w:rPr>
        <w:tab/>
        <w:t>State Bar No. 24074429</w:t>
      </w:r>
    </w:p>
    <w:p w14:paraId="6670AACE" w14:textId="6AA2DA0E" w:rsidR="00B56896" w:rsidRPr="00B9191B" w:rsidRDefault="00CC3606" w:rsidP="00CC3606">
      <w:pPr>
        <w:spacing w:after="0"/>
        <w:jc w:val="left"/>
        <w:rPr>
          <w:rFonts w:asciiTheme="majorBidi" w:eastAsia="Times New Roman" w:hAnsiTheme="majorBidi" w:cstheme="majorBidi"/>
          <w:smallCaps/>
        </w:rPr>
      </w:pPr>
      <w:r w:rsidRPr="00B9191B">
        <w:rPr>
          <w:rFonts w:asciiTheme="majorBidi" w:eastAsia="Times New Roman" w:hAnsiTheme="majorBidi" w:cstheme="majorBidi"/>
          <w:smallCaps/>
        </w:rPr>
        <w:tab/>
      </w:r>
      <w:r w:rsidRPr="00B9191B">
        <w:rPr>
          <w:rFonts w:asciiTheme="majorBidi" w:eastAsia="Times New Roman" w:hAnsiTheme="majorBidi" w:cstheme="majorBidi"/>
          <w:smallCaps/>
        </w:rPr>
        <w:tab/>
      </w:r>
      <w:r w:rsidRPr="00B9191B">
        <w:rPr>
          <w:rFonts w:asciiTheme="majorBidi" w:eastAsia="Times New Roman" w:hAnsiTheme="majorBidi" w:cstheme="majorBidi"/>
          <w:smallCaps/>
        </w:rPr>
        <w:tab/>
      </w:r>
      <w:r w:rsidRPr="00B9191B">
        <w:rPr>
          <w:rFonts w:asciiTheme="majorBidi" w:eastAsia="Times New Roman" w:hAnsiTheme="majorBidi" w:cstheme="majorBidi"/>
          <w:smallCaps/>
        </w:rPr>
        <w:tab/>
      </w:r>
      <w:r w:rsidRPr="00B9191B">
        <w:rPr>
          <w:rFonts w:asciiTheme="majorBidi" w:eastAsia="Times New Roman" w:hAnsiTheme="majorBidi" w:cstheme="majorBidi"/>
          <w:smallCaps/>
        </w:rPr>
        <w:tab/>
      </w:r>
      <w:r w:rsidR="00B56896" w:rsidRPr="00B9191B">
        <w:rPr>
          <w:rFonts w:asciiTheme="majorBidi" w:eastAsia="Times New Roman" w:hAnsiTheme="majorBidi" w:cstheme="majorBidi"/>
          <w:smallCaps/>
        </w:rPr>
        <w:tab/>
      </w:r>
      <w:r w:rsidR="00B56896" w:rsidRPr="00B9191B">
        <w:rPr>
          <w:rFonts w:asciiTheme="majorBidi" w:eastAsia="Times New Roman" w:hAnsiTheme="majorBidi" w:cstheme="majorBidi"/>
          <w:smallCaps/>
        </w:rPr>
        <w:tab/>
        <w:t>Vinson &amp; Elkins LLP</w:t>
      </w:r>
    </w:p>
    <w:p w14:paraId="0B557D87" w14:textId="575AABC5" w:rsidR="00B56896" w:rsidRPr="00B9191B" w:rsidRDefault="00CC3606" w:rsidP="00CC3606">
      <w:pPr>
        <w:spacing w:after="0"/>
        <w:jc w:val="left"/>
        <w:rPr>
          <w:rFonts w:asciiTheme="majorBidi" w:eastAsia="Times New Roman" w:hAnsiTheme="majorBidi" w:cstheme="majorBidi"/>
        </w:rPr>
      </w:pPr>
      <w:r w:rsidRPr="00B9191B">
        <w:rPr>
          <w:rFonts w:asciiTheme="majorBidi" w:eastAsia="Times New Roman" w:hAnsiTheme="majorBidi" w:cstheme="majorBidi"/>
          <w:smallCaps/>
        </w:rPr>
        <w:tab/>
      </w:r>
      <w:r w:rsidRPr="00B9191B">
        <w:rPr>
          <w:rFonts w:asciiTheme="majorBidi" w:eastAsia="Times New Roman" w:hAnsiTheme="majorBidi" w:cstheme="majorBidi"/>
          <w:smallCaps/>
        </w:rPr>
        <w:tab/>
      </w:r>
      <w:r w:rsidRPr="00B9191B">
        <w:rPr>
          <w:rFonts w:asciiTheme="majorBidi" w:eastAsia="Times New Roman" w:hAnsiTheme="majorBidi" w:cstheme="majorBidi"/>
          <w:smallCaps/>
        </w:rPr>
        <w:tab/>
      </w:r>
      <w:r w:rsidRPr="00B9191B">
        <w:rPr>
          <w:rFonts w:asciiTheme="majorBidi" w:eastAsia="Times New Roman" w:hAnsiTheme="majorBidi" w:cstheme="majorBidi"/>
          <w:smallCaps/>
        </w:rPr>
        <w:tab/>
      </w:r>
      <w:r w:rsidRPr="00B9191B">
        <w:rPr>
          <w:rFonts w:asciiTheme="majorBidi" w:eastAsia="Times New Roman" w:hAnsiTheme="majorBidi" w:cstheme="majorBidi"/>
          <w:smallCaps/>
        </w:rPr>
        <w:tab/>
      </w:r>
      <w:r w:rsidR="00B56896" w:rsidRPr="00B9191B">
        <w:rPr>
          <w:rFonts w:asciiTheme="majorBidi" w:eastAsia="Times New Roman" w:hAnsiTheme="majorBidi" w:cstheme="majorBidi"/>
          <w:smallCaps/>
        </w:rPr>
        <w:tab/>
      </w:r>
      <w:r w:rsidR="00B56896" w:rsidRPr="00B9191B">
        <w:rPr>
          <w:rFonts w:asciiTheme="majorBidi" w:eastAsia="Times New Roman" w:hAnsiTheme="majorBidi" w:cstheme="majorBidi"/>
          <w:smallCaps/>
        </w:rPr>
        <w:tab/>
        <w:t>2801 V</w:t>
      </w:r>
      <w:r w:rsidR="00B56896" w:rsidRPr="00B9191B">
        <w:rPr>
          <w:rFonts w:asciiTheme="majorBidi" w:eastAsia="Times New Roman" w:hAnsiTheme="majorBidi" w:cstheme="majorBidi"/>
        </w:rPr>
        <w:t>ia Fortuna, Suite 100</w:t>
      </w:r>
    </w:p>
    <w:p w14:paraId="69BD4B9A" w14:textId="5BB38326" w:rsidR="00B56896" w:rsidRPr="00B9191B" w:rsidRDefault="00CC3606" w:rsidP="00CC3606">
      <w:pPr>
        <w:spacing w:after="0"/>
        <w:jc w:val="left"/>
        <w:rPr>
          <w:rFonts w:asciiTheme="majorBidi" w:eastAsia="Times New Roman" w:hAnsiTheme="majorBidi" w:cstheme="majorBidi"/>
        </w:rPr>
      </w:pPr>
      <w:r w:rsidRPr="00B9191B">
        <w:rPr>
          <w:rFonts w:asciiTheme="majorBidi" w:eastAsia="Times New Roman" w:hAnsiTheme="majorBidi" w:cstheme="majorBidi"/>
        </w:rPr>
        <w:tab/>
      </w:r>
      <w:r w:rsidRPr="00B9191B">
        <w:rPr>
          <w:rFonts w:asciiTheme="majorBidi" w:eastAsia="Times New Roman" w:hAnsiTheme="majorBidi" w:cstheme="majorBidi"/>
        </w:rPr>
        <w:tab/>
      </w:r>
      <w:r w:rsidRPr="00B9191B">
        <w:rPr>
          <w:rFonts w:asciiTheme="majorBidi" w:eastAsia="Times New Roman" w:hAnsiTheme="majorBidi" w:cstheme="majorBidi"/>
        </w:rPr>
        <w:tab/>
      </w:r>
      <w:r w:rsidRPr="00B9191B">
        <w:rPr>
          <w:rFonts w:asciiTheme="majorBidi" w:eastAsia="Times New Roman" w:hAnsiTheme="majorBidi" w:cstheme="majorBidi"/>
        </w:rPr>
        <w:tab/>
      </w:r>
      <w:r w:rsidRPr="00B9191B">
        <w:rPr>
          <w:rFonts w:asciiTheme="majorBidi" w:eastAsia="Times New Roman" w:hAnsiTheme="majorBidi" w:cstheme="majorBidi"/>
        </w:rPr>
        <w:tab/>
      </w:r>
      <w:r w:rsidR="00B56896" w:rsidRPr="00B9191B">
        <w:rPr>
          <w:rFonts w:asciiTheme="majorBidi" w:eastAsia="Times New Roman" w:hAnsiTheme="majorBidi" w:cstheme="majorBidi"/>
        </w:rPr>
        <w:tab/>
      </w:r>
      <w:r w:rsidR="00B56896" w:rsidRPr="00B9191B">
        <w:rPr>
          <w:rFonts w:asciiTheme="majorBidi" w:eastAsia="Times New Roman" w:hAnsiTheme="majorBidi" w:cstheme="majorBidi"/>
        </w:rPr>
        <w:tab/>
        <w:t>Austin, Texas 78746</w:t>
      </w:r>
    </w:p>
    <w:p w14:paraId="1E0A4F8E" w14:textId="414B730F" w:rsidR="00B56896" w:rsidRPr="00B9191B" w:rsidRDefault="00CC3606" w:rsidP="00CC3606">
      <w:pPr>
        <w:spacing w:after="0"/>
        <w:jc w:val="left"/>
        <w:rPr>
          <w:rFonts w:asciiTheme="majorBidi" w:eastAsia="Times New Roman" w:hAnsiTheme="majorBidi" w:cstheme="majorBidi"/>
        </w:rPr>
      </w:pPr>
      <w:r w:rsidRPr="00B9191B">
        <w:rPr>
          <w:rFonts w:asciiTheme="majorBidi" w:eastAsia="Times New Roman" w:hAnsiTheme="majorBidi" w:cstheme="majorBidi"/>
        </w:rPr>
        <w:tab/>
      </w:r>
      <w:r w:rsidRPr="00B9191B">
        <w:rPr>
          <w:rFonts w:asciiTheme="majorBidi" w:eastAsia="Times New Roman" w:hAnsiTheme="majorBidi" w:cstheme="majorBidi"/>
        </w:rPr>
        <w:tab/>
      </w:r>
      <w:r w:rsidRPr="00B9191B">
        <w:rPr>
          <w:rFonts w:asciiTheme="majorBidi" w:eastAsia="Times New Roman" w:hAnsiTheme="majorBidi" w:cstheme="majorBidi"/>
        </w:rPr>
        <w:tab/>
      </w:r>
      <w:r w:rsidRPr="00B9191B">
        <w:rPr>
          <w:rFonts w:asciiTheme="majorBidi" w:eastAsia="Times New Roman" w:hAnsiTheme="majorBidi" w:cstheme="majorBidi"/>
        </w:rPr>
        <w:tab/>
      </w:r>
      <w:r w:rsidRPr="00B9191B">
        <w:rPr>
          <w:rFonts w:asciiTheme="majorBidi" w:eastAsia="Times New Roman" w:hAnsiTheme="majorBidi" w:cstheme="majorBidi"/>
        </w:rPr>
        <w:tab/>
      </w:r>
      <w:r w:rsidR="00B56896" w:rsidRPr="00B9191B">
        <w:rPr>
          <w:rFonts w:asciiTheme="majorBidi" w:eastAsia="Times New Roman" w:hAnsiTheme="majorBidi" w:cstheme="majorBidi"/>
        </w:rPr>
        <w:tab/>
      </w:r>
      <w:r w:rsidR="00B56896" w:rsidRPr="00B9191B">
        <w:rPr>
          <w:rFonts w:asciiTheme="majorBidi" w:eastAsia="Times New Roman" w:hAnsiTheme="majorBidi" w:cstheme="majorBidi"/>
        </w:rPr>
        <w:tab/>
        <w:t>Phone: (512) 542-8</w:t>
      </w:r>
      <w:r w:rsidRPr="00B9191B">
        <w:rPr>
          <w:rFonts w:asciiTheme="majorBidi" w:eastAsia="Times New Roman" w:hAnsiTheme="majorBidi" w:cstheme="majorBidi"/>
        </w:rPr>
        <w:t>527</w:t>
      </w:r>
    </w:p>
    <w:p w14:paraId="0C9AB0B0" w14:textId="26E5B91F" w:rsidR="00B56896" w:rsidRPr="00B9191B" w:rsidRDefault="00CC3606" w:rsidP="00C12319">
      <w:pPr>
        <w:spacing w:after="0"/>
        <w:ind w:left="3600" w:firstLine="720"/>
        <w:jc w:val="left"/>
        <w:rPr>
          <w:rFonts w:asciiTheme="majorBidi" w:eastAsia="Times New Roman" w:hAnsiTheme="majorBidi" w:cstheme="majorBidi"/>
        </w:rPr>
      </w:pPr>
      <w:r w:rsidRPr="00B9191B">
        <w:rPr>
          <w:rFonts w:asciiTheme="majorBidi" w:eastAsia="Times New Roman" w:hAnsiTheme="majorBidi" w:cstheme="majorBidi"/>
        </w:rPr>
        <w:tab/>
      </w:r>
      <w:r w:rsidR="00B56896" w:rsidRPr="00B9191B">
        <w:rPr>
          <w:rFonts w:asciiTheme="majorBidi" w:eastAsia="Times New Roman" w:hAnsiTheme="majorBidi" w:cstheme="majorBidi"/>
        </w:rPr>
        <w:t>Fax:  (512) 236-32</w:t>
      </w:r>
      <w:r w:rsidRPr="00B9191B">
        <w:rPr>
          <w:rFonts w:asciiTheme="majorBidi" w:eastAsia="Times New Roman" w:hAnsiTheme="majorBidi" w:cstheme="majorBidi"/>
        </w:rPr>
        <w:t>1</w:t>
      </w:r>
      <w:r w:rsidR="00A474B8" w:rsidRPr="00B9191B">
        <w:rPr>
          <w:rFonts w:asciiTheme="majorBidi" w:eastAsia="Times New Roman" w:hAnsiTheme="majorBidi" w:cstheme="majorBidi"/>
        </w:rPr>
        <w:t>1</w:t>
      </w:r>
    </w:p>
    <w:p w14:paraId="257908F6" w14:textId="74DA52AB" w:rsidR="00B56896" w:rsidRPr="00B9191B" w:rsidRDefault="00CC3606" w:rsidP="00C12319">
      <w:pPr>
        <w:spacing w:after="0"/>
        <w:ind w:left="3600" w:firstLine="720"/>
        <w:jc w:val="left"/>
        <w:rPr>
          <w:rFonts w:asciiTheme="majorBidi" w:hAnsiTheme="majorBidi" w:cstheme="majorBidi"/>
        </w:rPr>
      </w:pPr>
      <w:r w:rsidRPr="00B9191B">
        <w:rPr>
          <w:rFonts w:asciiTheme="majorBidi" w:hAnsiTheme="majorBidi" w:cstheme="majorBidi"/>
        </w:rPr>
        <w:tab/>
      </w:r>
      <w:hyperlink r:id="rId8" w:history="1">
        <w:r w:rsidR="00B56896" w:rsidRPr="00B9191B">
          <w:rPr>
            <w:rStyle w:val="Hyperlink"/>
            <w:rFonts w:asciiTheme="majorBidi" w:hAnsiTheme="majorBidi" w:cstheme="majorBidi"/>
          </w:rPr>
          <w:t>mtomsu@velaw.com</w:t>
        </w:r>
      </w:hyperlink>
      <w:r w:rsidR="00B56896" w:rsidRPr="00B9191B">
        <w:rPr>
          <w:rFonts w:asciiTheme="majorBidi" w:hAnsiTheme="majorBidi" w:cstheme="majorBidi"/>
        </w:rPr>
        <w:t xml:space="preserve"> </w:t>
      </w:r>
    </w:p>
    <w:p w14:paraId="48C29126" w14:textId="1D488BEA" w:rsidR="00B56896" w:rsidRPr="00B9191B" w:rsidRDefault="00265052" w:rsidP="00CC3606">
      <w:pPr>
        <w:spacing w:after="0"/>
        <w:ind w:left="3600" w:firstLine="720"/>
        <w:jc w:val="left"/>
        <w:rPr>
          <w:rFonts w:asciiTheme="majorBidi" w:eastAsia="Times New Roman" w:hAnsiTheme="majorBidi" w:cstheme="majorBidi"/>
        </w:rPr>
      </w:pPr>
      <w:r w:rsidRPr="00B9191B">
        <w:rPr>
          <w:rFonts w:asciiTheme="majorBidi" w:hAnsiTheme="majorBidi" w:cstheme="majorBidi"/>
        </w:rPr>
        <w:tab/>
      </w:r>
      <w:hyperlink r:id="rId9" w:history="1">
        <w:r w:rsidRPr="00B9191B">
          <w:rPr>
            <w:rStyle w:val="Hyperlink"/>
            <w:rFonts w:asciiTheme="majorBidi" w:hAnsiTheme="majorBidi" w:cstheme="majorBidi"/>
          </w:rPr>
          <w:t>tholcomb@velaw.com</w:t>
        </w:r>
      </w:hyperlink>
      <w:r w:rsidRPr="00B9191B">
        <w:rPr>
          <w:rFonts w:asciiTheme="majorBidi" w:hAnsiTheme="majorBidi" w:cstheme="majorBidi"/>
        </w:rPr>
        <w:t xml:space="preserve"> </w:t>
      </w:r>
    </w:p>
    <w:p w14:paraId="28A7E8D8" w14:textId="1B4E21B8" w:rsidR="00B56896" w:rsidRPr="00B9191B" w:rsidRDefault="00B56896" w:rsidP="00CC3606">
      <w:pPr>
        <w:spacing w:after="0"/>
        <w:jc w:val="left"/>
        <w:rPr>
          <w:rFonts w:asciiTheme="majorBidi" w:eastAsia="Times New Roman" w:hAnsiTheme="majorBidi" w:cstheme="majorBidi"/>
        </w:rPr>
      </w:pPr>
    </w:p>
    <w:p w14:paraId="1F705F92" w14:textId="19F00665" w:rsidR="00265052" w:rsidRPr="00B9191B" w:rsidRDefault="00265052" w:rsidP="00CC3606">
      <w:pPr>
        <w:spacing w:after="0"/>
        <w:ind w:left="4680" w:firstLine="360"/>
        <w:jc w:val="left"/>
        <w:rPr>
          <w:rFonts w:asciiTheme="majorBidi" w:eastAsia="Times New Roman" w:hAnsiTheme="majorBidi" w:cstheme="majorBidi"/>
        </w:rPr>
      </w:pPr>
      <w:r w:rsidRPr="00B9191B">
        <w:rPr>
          <w:rFonts w:asciiTheme="majorBidi" w:eastAsia="Times New Roman" w:hAnsiTheme="majorBidi" w:cstheme="majorBidi"/>
        </w:rPr>
        <w:t>Barry Smitherman</w:t>
      </w:r>
    </w:p>
    <w:p w14:paraId="283212A1" w14:textId="23D328B2" w:rsidR="00265052" w:rsidRPr="00B9191B" w:rsidRDefault="00265052" w:rsidP="00CC3606">
      <w:pPr>
        <w:spacing w:after="0"/>
        <w:ind w:left="4320" w:firstLine="720"/>
        <w:jc w:val="left"/>
        <w:rPr>
          <w:rFonts w:asciiTheme="majorBidi" w:eastAsia="Times New Roman" w:hAnsiTheme="majorBidi" w:cstheme="majorBidi"/>
        </w:rPr>
      </w:pPr>
      <w:r w:rsidRPr="00B9191B">
        <w:rPr>
          <w:rFonts w:asciiTheme="majorBidi" w:eastAsia="Times New Roman" w:hAnsiTheme="majorBidi" w:cstheme="majorBidi"/>
        </w:rPr>
        <w:t>State Bar No. 18770600</w:t>
      </w:r>
    </w:p>
    <w:p w14:paraId="76CD067C" w14:textId="666AB59A" w:rsidR="00265052" w:rsidRPr="00B9191B" w:rsidRDefault="00265052" w:rsidP="00CC3606">
      <w:pPr>
        <w:spacing w:after="0"/>
        <w:ind w:left="4680" w:firstLine="360"/>
        <w:jc w:val="left"/>
        <w:rPr>
          <w:rFonts w:asciiTheme="majorBidi" w:eastAsia="Times New Roman" w:hAnsiTheme="majorBidi" w:cstheme="majorBidi"/>
        </w:rPr>
      </w:pPr>
      <w:r w:rsidRPr="00B9191B">
        <w:rPr>
          <w:rFonts w:asciiTheme="majorBidi" w:eastAsia="Times New Roman" w:hAnsiTheme="majorBidi" w:cstheme="majorBidi"/>
        </w:rPr>
        <w:t>BARRY SMITHERMAN, P.C.</w:t>
      </w:r>
    </w:p>
    <w:p w14:paraId="26C5BBD3" w14:textId="020057AD" w:rsidR="00265052" w:rsidRPr="00B9191B" w:rsidRDefault="00265052" w:rsidP="00CC3606">
      <w:pPr>
        <w:spacing w:after="0"/>
        <w:ind w:left="4320" w:firstLine="720"/>
        <w:jc w:val="left"/>
        <w:rPr>
          <w:rFonts w:asciiTheme="majorBidi" w:eastAsia="Times New Roman" w:hAnsiTheme="majorBidi" w:cstheme="majorBidi"/>
        </w:rPr>
      </w:pPr>
      <w:r w:rsidRPr="00B9191B">
        <w:rPr>
          <w:rFonts w:asciiTheme="majorBidi" w:eastAsia="Times New Roman" w:hAnsiTheme="majorBidi" w:cstheme="majorBidi"/>
        </w:rPr>
        <w:t>P.O. Box 163805</w:t>
      </w:r>
    </w:p>
    <w:p w14:paraId="623038A0" w14:textId="05078ACA" w:rsidR="00265052" w:rsidRPr="00B9191B" w:rsidRDefault="00265052" w:rsidP="00CC3606">
      <w:pPr>
        <w:spacing w:after="0"/>
        <w:ind w:left="4320" w:firstLine="720"/>
        <w:jc w:val="left"/>
        <w:rPr>
          <w:rFonts w:asciiTheme="majorBidi" w:eastAsia="Times New Roman" w:hAnsiTheme="majorBidi" w:cstheme="majorBidi"/>
        </w:rPr>
      </w:pPr>
      <w:r w:rsidRPr="00B9191B">
        <w:rPr>
          <w:rFonts w:asciiTheme="majorBidi" w:eastAsia="Times New Roman" w:hAnsiTheme="majorBidi" w:cstheme="majorBidi"/>
        </w:rPr>
        <w:t>Austin, Texas  78716</w:t>
      </w:r>
    </w:p>
    <w:p w14:paraId="0D642D98" w14:textId="18FB404D" w:rsidR="00265052" w:rsidRPr="00B9191B" w:rsidRDefault="006E479A" w:rsidP="00CC3606">
      <w:pPr>
        <w:spacing w:after="0"/>
        <w:ind w:left="4680" w:firstLine="360"/>
        <w:jc w:val="left"/>
        <w:rPr>
          <w:rFonts w:asciiTheme="majorBidi" w:eastAsia="Times New Roman" w:hAnsiTheme="majorBidi" w:cstheme="majorBidi"/>
        </w:rPr>
      </w:pPr>
      <w:r w:rsidRPr="00B9191B">
        <w:rPr>
          <w:rFonts w:asciiTheme="majorBidi" w:eastAsia="Times New Roman" w:hAnsiTheme="majorBidi" w:cstheme="majorBidi"/>
        </w:rPr>
        <w:t xml:space="preserve">Phone:  </w:t>
      </w:r>
      <w:r w:rsidR="00265052" w:rsidRPr="00B9191B">
        <w:rPr>
          <w:rFonts w:asciiTheme="majorBidi" w:eastAsia="Times New Roman" w:hAnsiTheme="majorBidi" w:cstheme="majorBidi"/>
        </w:rPr>
        <w:t>(512) 652-8949</w:t>
      </w:r>
    </w:p>
    <w:p w14:paraId="029B233D" w14:textId="1D77383F" w:rsidR="00265052" w:rsidRPr="00B9191B" w:rsidRDefault="006E479A" w:rsidP="00CC3606">
      <w:pPr>
        <w:spacing w:after="0"/>
        <w:ind w:left="4320" w:firstLine="720"/>
        <w:jc w:val="left"/>
        <w:rPr>
          <w:rFonts w:asciiTheme="majorBidi" w:eastAsia="Times New Roman" w:hAnsiTheme="majorBidi" w:cstheme="majorBidi"/>
        </w:rPr>
      </w:pPr>
      <w:r w:rsidRPr="00B9191B">
        <w:rPr>
          <w:rFonts w:asciiTheme="majorBidi" w:eastAsia="Times New Roman" w:hAnsiTheme="majorBidi" w:cstheme="majorBidi"/>
        </w:rPr>
        <w:t xml:space="preserve">Fax:  </w:t>
      </w:r>
      <w:r w:rsidR="00265052" w:rsidRPr="00B9191B">
        <w:rPr>
          <w:rFonts w:asciiTheme="majorBidi" w:eastAsia="Times New Roman" w:hAnsiTheme="majorBidi" w:cstheme="majorBidi"/>
        </w:rPr>
        <w:t>(512) 330-0182</w:t>
      </w:r>
    </w:p>
    <w:p w14:paraId="7BEA47DD" w14:textId="07D847F3" w:rsidR="00265052" w:rsidRPr="00B9191B" w:rsidRDefault="00545FC2" w:rsidP="00CC3606">
      <w:pPr>
        <w:spacing w:after="0"/>
        <w:ind w:left="4320" w:firstLine="720"/>
        <w:jc w:val="left"/>
        <w:rPr>
          <w:rFonts w:asciiTheme="majorBidi" w:eastAsia="Times New Roman" w:hAnsiTheme="majorBidi" w:cstheme="majorBidi"/>
        </w:rPr>
      </w:pPr>
      <w:hyperlink r:id="rId10" w:history="1">
        <w:r w:rsidR="00265052" w:rsidRPr="00B9191B">
          <w:rPr>
            <w:rStyle w:val="Hyperlink"/>
            <w:rFonts w:asciiTheme="majorBidi" w:eastAsia="Times New Roman" w:hAnsiTheme="majorBidi" w:cstheme="majorBidi"/>
          </w:rPr>
          <w:t>smithermantexas@gmail.com</w:t>
        </w:r>
      </w:hyperlink>
    </w:p>
    <w:p w14:paraId="0348EDDB" w14:textId="77777777" w:rsidR="00265052" w:rsidRPr="00B9191B" w:rsidRDefault="00265052" w:rsidP="00C12319">
      <w:pPr>
        <w:spacing w:after="0"/>
        <w:ind w:left="5400" w:firstLine="360"/>
        <w:jc w:val="left"/>
        <w:rPr>
          <w:rFonts w:asciiTheme="majorBidi" w:eastAsia="Times New Roman" w:hAnsiTheme="majorBidi" w:cstheme="majorBidi"/>
        </w:rPr>
      </w:pPr>
    </w:p>
    <w:p w14:paraId="4C9C76DE" w14:textId="29E8229B" w:rsidR="00B56896" w:rsidRPr="00B9191B" w:rsidRDefault="00CC3606" w:rsidP="00C12319">
      <w:pPr>
        <w:spacing w:after="0"/>
        <w:rPr>
          <w:rFonts w:asciiTheme="majorBidi" w:hAnsiTheme="majorBidi" w:cstheme="majorBidi"/>
          <w:i/>
        </w:rPr>
      </w:pP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00B56896" w:rsidRPr="00B9191B">
        <w:rPr>
          <w:rFonts w:asciiTheme="majorBidi" w:hAnsiTheme="majorBidi" w:cstheme="majorBidi"/>
        </w:rPr>
        <w:tab/>
      </w:r>
      <w:r w:rsidR="00B56896" w:rsidRPr="00B9191B">
        <w:rPr>
          <w:rFonts w:asciiTheme="majorBidi" w:hAnsiTheme="majorBidi" w:cstheme="majorBidi"/>
          <w:i/>
        </w:rPr>
        <w:t xml:space="preserve">Attorneys for the </w:t>
      </w:r>
      <w:r w:rsidR="00022067" w:rsidRPr="00B9191B">
        <w:rPr>
          <w:rFonts w:asciiTheme="majorBidi" w:hAnsiTheme="majorBidi" w:cstheme="majorBidi"/>
          <w:i/>
        </w:rPr>
        <w:t>Petitioning Cities</w:t>
      </w:r>
    </w:p>
    <w:p w14:paraId="0B60FE18" w14:textId="6423276E" w:rsidR="00B56896" w:rsidRPr="00B9191B" w:rsidRDefault="00B56896" w:rsidP="00283C1D">
      <w:pPr>
        <w:spacing w:after="0" w:line="360" w:lineRule="auto"/>
        <w:ind w:left="4140"/>
        <w:rPr>
          <w:rFonts w:asciiTheme="majorBidi" w:hAnsiTheme="majorBidi" w:cstheme="majorBidi"/>
        </w:rPr>
      </w:pPr>
    </w:p>
    <w:p w14:paraId="023845BB" w14:textId="6A3CBF77" w:rsidR="001A5F74" w:rsidRPr="00B9191B" w:rsidRDefault="001A5F74" w:rsidP="00283C1D">
      <w:pPr>
        <w:spacing w:after="0" w:line="360" w:lineRule="auto"/>
        <w:ind w:left="4140"/>
        <w:rPr>
          <w:rFonts w:asciiTheme="majorBidi" w:eastAsia="Times New Roman" w:hAnsiTheme="majorBidi" w:cstheme="majorBidi"/>
        </w:rPr>
      </w:pP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p>
    <w:p w14:paraId="43D7CB62" w14:textId="77777777" w:rsidR="001A5F74" w:rsidRPr="00B9191B" w:rsidRDefault="001A5F74" w:rsidP="00283C1D">
      <w:pPr>
        <w:spacing w:after="0" w:line="360" w:lineRule="auto"/>
        <w:ind w:left="5400" w:firstLine="360"/>
        <w:jc w:val="left"/>
        <w:rPr>
          <w:rFonts w:asciiTheme="majorBidi" w:eastAsia="Times New Roman" w:hAnsiTheme="majorBidi" w:cstheme="majorBidi"/>
        </w:rPr>
      </w:pPr>
    </w:p>
    <w:p w14:paraId="48A24E23" w14:textId="77777777" w:rsidR="0014203B" w:rsidRPr="00B9191B" w:rsidRDefault="0014203B" w:rsidP="00283C1D">
      <w:pPr>
        <w:spacing w:after="0" w:line="360" w:lineRule="auto"/>
        <w:ind w:left="5400" w:firstLine="360"/>
        <w:jc w:val="left"/>
        <w:rPr>
          <w:rFonts w:asciiTheme="majorBidi" w:eastAsia="Times New Roman" w:hAnsiTheme="majorBidi" w:cstheme="majorBidi"/>
        </w:rPr>
      </w:pPr>
    </w:p>
    <w:p w14:paraId="2E63C296" w14:textId="1479E603" w:rsidR="00641820" w:rsidRPr="00B9191B" w:rsidRDefault="0014203B" w:rsidP="00283C1D">
      <w:pPr>
        <w:spacing w:after="0" w:line="360" w:lineRule="auto"/>
        <w:rPr>
          <w:rFonts w:asciiTheme="majorBidi" w:hAnsiTheme="majorBidi" w:cstheme="majorBidi"/>
          <w:i/>
        </w:rPr>
      </w:pP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r w:rsidRPr="00B9191B">
        <w:rPr>
          <w:rFonts w:asciiTheme="majorBidi" w:hAnsiTheme="majorBidi" w:cstheme="majorBidi"/>
        </w:rPr>
        <w:tab/>
      </w:r>
    </w:p>
    <w:p w14:paraId="30B56D75" w14:textId="2085E474" w:rsidR="008E1E96" w:rsidRPr="00B9191B" w:rsidRDefault="002D2E27" w:rsidP="00283C1D">
      <w:pPr>
        <w:spacing w:after="0" w:line="360" w:lineRule="auto"/>
        <w:rPr>
          <w:rFonts w:asciiTheme="majorBidi" w:hAnsiTheme="majorBidi" w:cstheme="majorBidi"/>
          <w:i/>
        </w:rPr>
      </w:pPr>
      <w:r w:rsidRPr="00B9191B">
        <w:rPr>
          <w:rFonts w:asciiTheme="majorBidi" w:hAnsiTheme="majorBidi" w:cstheme="majorBidi"/>
          <w:i/>
        </w:rPr>
        <w:br w:type="page"/>
      </w:r>
    </w:p>
    <w:p w14:paraId="244BD7CA" w14:textId="77777777" w:rsidR="00B316D4" w:rsidRPr="00B9191B" w:rsidRDefault="00B316D4" w:rsidP="00B316D4">
      <w:pPr>
        <w:jc w:val="center"/>
        <w:rPr>
          <w:rFonts w:asciiTheme="majorBidi" w:hAnsiTheme="majorBidi" w:cstheme="majorBidi"/>
          <w:b/>
          <w:bCs/>
        </w:rPr>
      </w:pPr>
      <w:r w:rsidRPr="00B9191B">
        <w:rPr>
          <w:rFonts w:asciiTheme="majorBidi" w:hAnsiTheme="majorBidi" w:cstheme="majorBidi"/>
          <w:b/>
          <w:bCs/>
        </w:rPr>
        <w:lastRenderedPageBreak/>
        <w:t>CERTIFICATE OF SERVICE</w:t>
      </w:r>
    </w:p>
    <w:p w14:paraId="0CA21702" w14:textId="55C175F5" w:rsidR="00B316D4" w:rsidRPr="00B9191B" w:rsidRDefault="00B316D4" w:rsidP="00B316D4">
      <w:pPr>
        <w:ind w:firstLine="720"/>
        <w:rPr>
          <w:rFonts w:asciiTheme="majorBidi" w:hAnsiTheme="majorBidi" w:cstheme="majorBidi"/>
        </w:rPr>
      </w:pPr>
      <w:r w:rsidRPr="00B9191B">
        <w:rPr>
          <w:rFonts w:asciiTheme="majorBidi" w:hAnsiTheme="majorBidi" w:cstheme="majorBidi"/>
        </w:rPr>
        <w:t>I hereby certify that a true and correct copy of the foregoing</w:t>
      </w:r>
      <w:r w:rsidR="001373CE" w:rsidRPr="00B9191B">
        <w:rPr>
          <w:rFonts w:asciiTheme="majorBidi" w:hAnsiTheme="majorBidi" w:cstheme="majorBidi"/>
        </w:rPr>
        <w:t xml:space="preserve"> document was served on all parties of record in this proceeding on </w:t>
      </w:r>
      <w:r w:rsidR="00306562">
        <w:rPr>
          <w:rFonts w:asciiTheme="majorBidi" w:hAnsiTheme="majorBidi" w:cstheme="majorBidi"/>
        </w:rPr>
        <w:t>March 2</w:t>
      </w:r>
      <w:r w:rsidR="00D2759F" w:rsidRPr="00B9191B">
        <w:rPr>
          <w:rFonts w:asciiTheme="majorBidi" w:hAnsiTheme="majorBidi" w:cstheme="majorBidi"/>
        </w:rPr>
        <w:t>, 2018</w:t>
      </w:r>
      <w:r w:rsidR="002618FC" w:rsidRPr="00B9191B">
        <w:rPr>
          <w:rFonts w:asciiTheme="majorBidi" w:hAnsiTheme="majorBidi" w:cstheme="majorBidi"/>
        </w:rPr>
        <w:t xml:space="preserve">, </w:t>
      </w:r>
      <w:r w:rsidR="001373CE" w:rsidRPr="00B9191B">
        <w:rPr>
          <w:rFonts w:asciiTheme="majorBidi" w:hAnsiTheme="majorBidi" w:cstheme="majorBidi"/>
        </w:rPr>
        <w:t>in accordance with 16 T</w:t>
      </w:r>
      <w:r w:rsidR="00344955" w:rsidRPr="00B9191B">
        <w:rPr>
          <w:rFonts w:asciiTheme="majorBidi" w:hAnsiTheme="majorBidi" w:cstheme="majorBidi"/>
        </w:rPr>
        <w:t>ex</w:t>
      </w:r>
      <w:r w:rsidR="001373CE" w:rsidRPr="00B9191B">
        <w:rPr>
          <w:rFonts w:asciiTheme="majorBidi" w:hAnsiTheme="majorBidi" w:cstheme="majorBidi"/>
        </w:rPr>
        <w:t xml:space="preserve">. Admin. Code </w:t>
      </w:r>
      <w:r w:rsidR="009665B3" w:rsidRPr="00B9191B">
        <w:rPr>
          <w:rFonts w:asciiTheme="majorBidi" w:hAnsiTheme="majorBidi" w:cstheme="majorBidi"/>
        </w:rPr>
        <w:t xml:space="preserve">§ </w:t>
      </w:r>
      <w:r w:rsidR="001373CE" w:rsidRPr="00B9191B">
        <w:rPr>
          <w:rFonts w:asciiTheme="majorBidi" w:hAnsiTheme="majorBidi" w:cstheme="majorBidi"/>
        </w:rPr>
        <w:t>22.74.</w:t>
      </w:r>
      <w:r w:rsidRPr="00B9191B">
        <w:rPr>
          <w:rFonts w:asciiTheme="majorBidi" w:hAnsiTheme="majorBidi" w:cstheme="majorBidi"/>
        </w:rPr>
        <w:t xml:space="preserve"> </w:t>
      </w:r>
    </w:p>
    <w:p w14:paraId="21DAB8BB" w14:textId="77777777" w:rsidR="00B316D4" w:rsidRPr="00B9191B" w:rsidRDefault="00B316D4" w:rsidP="00B316D4">
      <w:pPr>
        <w:ind w:firstLine="720"/>
        <w:rPr>
          <w:rFonts w:asciiTheme="majorBidi" w:hAnsiTheme="majorBidi" w:cstheme="majorBidi"/>
        </w:rPr>
      </w:pPr>
    </w:p>
    <w:p w14:paraId="5EED94C8" w14:textId="77777777" w:rsidR="00B316D4" w:rsidRPr="00B9191B" w:rsidRDefault="00B316D4" w:rsidP="00B316D4">
      <w:pPr>
        <w:rPr>
          <w:rFonts w:asciiTheme="majorBidi" w:hAnsiTheme="majorBidi" w:cstheme="majorBidi"/>
        </w:rPr>
      </w:pPr>
    </w:p>
    <w:p w14:paraId="5B7194FF" w14:textId="588D824E" w:rsidR="00B316D4" w:rsidRPr="00B9191B" w:rsidRDefault="00B316D4" w:rsidP="00B316D4">
      <w:pPr>
        <w:spacing w:before="60" w:after="60"/>
        <w:ind w:left="4320"/>
        <w:rPr>
          <w:rFonts w:asciiTheme="majorBidi" w:hAnsiTheme="majorBidi" w:cstheme="majorBidi"/>
        </w:rPr>
      </w:pPr>
      <w:r w:rsidRPr="00B9191B">
        <w:rPr>
          <w:rFonts w:asciiTheme="majorBidi" w:hAnsiTheme="majorBidi" w:cstheme="majorBidi"/>
        </w:rPr>
        <w:t>_________________________________</w:t>
      </w:r>
      <w:r w:rsidRPr="00B9191B">
        <w:rPr>
          <w:rFonts w:asciiTheme="majorBidi" w:hAnsiTheme="majorBidi" w:cstheme="majorBidi"/>
        </w:rPr>
        <w:br/>
      </w:r>
      <w:r w:rsidR="00985BA9">
        <w:rPr>
          <w:rFonts w:asciiTheme="majorBidi" w:hAnsiTheme="majorBidi" w:cstheme="majorBidi"/>
        </w:rPr>
        <w:t>Mike Tomsu</w:t>
      </w:r>
    </w:p>
    <w:p w14:paraId="2F6DDA65" w14:textId="77777777" w:rsidR="00B316D4" w:rsidRPr="00CC3606" w:rsidRDefault="00B316D4" w:rsidP="00B316D4">
      <w:pPr>
        <w:rPr>
          <w:rFonts w:ascii="Garamond" w:hAnsi="Garamond"/>
        </w:rPr>
      </w:pPr>
    </w:p>
    <w:p w14:paraId="2512C178" w14:textId="77777777" w:rsidR="007D7F3C" w:rsidRPr="00CC3606" w:rsidRDefault="007D7F3C" w:rsidP="007D7F3C">
      <w:pPr>
        <w:rPr>
          <w:rFonts w:ascii="Garamond" w:hAnsi="Garamond"/>
        </w:rPr>
      </w:pPr>
    </w:p>
    <w:p w14:paraId="7CC81EA0" w14:textId="77777777" w:rsidR="00B316D4" w:rsidRPr="00CC3606" w:rsidRDefault="00B316D4" w:rsidP="008E1E96">
      <w:pPr>
        <w:jc w:val="left"/>
        <w:rPr>
          <w:rFonts w:ascii="Garamond" w:hAnsi="Garamond"/>
        </w:rPr>
      </w:pPr>
    </w:p>
    <w:p w14:paraId="156ED90E" w14:textId="55676299" w:rsidR="00D712BF" w:rsidRPr="00CC3606" w:rsidRDefault="00D712BF">
      <w:pPr>
        <w:jc w:val="left"/>
        <w:rPr>
          <w:rFonts w:ascii="Garamond" w:hAnsi="Garamond"/>
        </w:rPr>
      </w:pPr>
    </w:p>
    <w:sectPr w:rsidR="00D712BF" w:rsidRPr="00CC360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1ADCC" w14:textId="77777777" w:rsidR="00DA3711" w:rsidRDefault="00DA3711" w:rsidP="002F0FA6">
      <w:pPr>
        <w:spacing w:after="0"/>
      </w:pPr>
      <w:r>
        <w:separator/>
      </w:r>
    </w:p>
  </w:endnote>
  <w:endnote w:type="continuationSeparator" w:id="0">
    <w:p w14:paraId="326F93B3" w14:textId="77777777" w:rsidR="00DA3711" w:rsidRDefault="00DA3711" w:rsidP="002F0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rPr>
      <w:id w:val="1914123363"/>
      <w:docPartObj>
        <w:docPartGallery w:val="Page Numbers (Bottom of Page)"/>
        <w:docPartUnique/>
      </w:docPartObj>
    </w:sdtPr>
    <w:sdtEndPr/>
    <w:sdtContent>
      <w:sdt>
        <w:sdtPr>
          <w:rPr>
            <w:rFonts w:ascii="Garamond" w:hAnsi="Garamond"/>
          </w:rPr>
          <w:id w:val="1728636285"/>
          <w:docPartObj>
            <w:docPartGallery w:val="Page Numbers (Top of Page)"/>
            <w:docPartUnique/>
          </w:docPartObj>
        </w:sdtPr>
        <w:sdtEndPr/>
        <w:sdtContent>
          <w:p w14:paraId="1D45B603" w14:textId="53491296" w:rsidR="00DA3711" w:rsidRPr="005F1065" w:rsidRDefault="00DA3711">
            <w:pPr>
              <w:pStyle w:val="Footer"/>
              <w:jc w:val="center"/>
              <w:rPr>
                <w:rFonts w:ascii="Garamond" w:hAnsi="Garamond"/>
              </w:rPr>
            </w:pPr>
            <w:r w:rsidRPr="00B9191B">
              <w:rPr>
                <w:rFonts w:asciiTheme="majorBidi" w:hAnsiTheme="majorBidi" w:cstheme="majorBidi"/>
              </w:rPr>
              <w:t xml:space="preserve">Page </w:t>
            </w:r>
            <w:r w:rsidRPr="00B9191B">
              <w:rPr>
                <w:rFonts w:asciiTheme="majorBidi" w:hAnsiTheme="majorBidi" w:cstheme="majorBidi"/>
                <w:b/>
                <w:bCs/>
              </w:rPr>
              <w:fldChar w:fldCharType="begin"/>
            </w:r>
            <w:r w:rsidRPr="00B9191B">
              <w:rPr>
                <w:rFonts w:asciiTheme="majorBidi" w:hAnsiTheme="majorBidi" w:cstheme="majorBidi"/>
                <w:b/>
                <w:bCs/>
              </w:rPr>
              <w:instrText xml:space="preserve"> PAGE </w:instrText>
            </w:r>
            <w:r w:rsidRPr="00B9191B">
              <w:rPr>
                <w:rFonts w:asciiTheme="majorBidi" w:hAnsiTheme="majorBidi" w:cstheme="majorBidi"/>
                <w:b/>
                <w:bCs/>
              </w:rPr>
              <w:fldChar w:fldCharType="separate"/>
            </w:r>
            <w:r w:rsidR="00545FC2">
              <w:rPr>
                <w:rFonts w:asciiTheme="majorBidi" w:hAnsiTheme="majorBidi" w:cstheme="majorBidi"/>
                <w:b/>
                <w:bCs/>
                <w:noProof/>
              </w:rPr>
              <w:t>2</w:t>
            </w:r>
            <w:r w:rsidRPr="00B9191B">
              <w:rPr>
                <w:rFonts w:asciiTheme="majorBidi" w:hAnsiTheme="majorBidi" w:cstheme="majorBidi"/>
                <w:b/>
                <w:bCs/>
              </w:rPr>
              <w:fldChar w:fldCharType="end"/>
            </w:r>
            <w:r w:rsidRPr="00B9191B">
              <w:rPr>
                <w:rFonts w:asciiTheme="majorBidi" w:hAnsiTheme="majorBidi" w:cstheme="majorBidi"/>
              </w:rPr>
              <w:t xml:space="preserve"> of </w:t>
            </w:r>
            <w:r w:rsidRPr="00B9191B">
              <w:rPr>
                <w:rFonts w:asciiTheme="majorBidi" w:hAnsiTheme="majorBidi" w:cstheme="majorBidi"/>
                <w:b/>
                <w:bCs/>
              </w:rPr>
              <w:fldChar w:fldCharType="begin"/>
            </w:r>
            <w:r w:rsidRPr="00B9191B">
              <w:rPr>
                <w:rFonts w:asciiTheme="majorBidi" w:hAnsiTheme="majorBidi" w:cstheme="majorBidi"/>
                <w:b/>
                <w:bCs/>
              </w:rPr>
              <w:instrText xml:space="preserve"> NUMPAGES  </w:instrText>
            </w:r>
            <w:r w:rsidRPr="00B9191B">
              <w:rPr>
                <w:rFonts w:asciiTheme="majorBidi" w:hAnsiTheme="majorBidi" w:cstheme="majorBidi"/>
                <w:b/>
                <w:bCs/>
              </w:rPr>
              <w:fldChar w:fldCharType="separate"/>
            </w:r>
            <w:r w:rsidR="00545FC2">
              <w:rPr>
                <w:rFonts w:asciiTheme="majorBidi" w:hAnsiTheme="majorBidi" w:cstheme="majorBidi"/>
                <w:b/>
                <w:bCs/>
                <w:noProof/>
              </w:rPr>
              <w:t>15</w:t>
            </w:r>
            <w:r w:rsidRPr="00B9191B">
              <w:rPr>
                <w:rFonts w:asciiTheme="majorBidi" w:hAnsiTheme="majorBidi" w:cstheme="majorBidi"/>
                <w:b/>
                <w:bCs/>
              </w:rPr>
              <w:fldChar w:fldCharType="end"/>
            </w:r>
          </w:p>
        </w:sdtContent>
      </w:sdt>
    </w:sdtContent>
  </w:sdt>
  <w:p w14:paraId="4E1F3835" w14:textId="77777777" w:rsidR="00DA3711" w:rsidRPr="005F1065" w:rsidRDefault="00DA3711" w:rsidP="003F765D">
    <w:pPr>
      <w:pStyle w:val="Footer"/>
      <w:jc w:val="left"/>
      <w:rPr>
        <w:rFonts w:ascii="Garamond" w:hAnsi="Garamon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3672" w14:textId="77777777" w:rsidR="00DA3711" w:rsidRDefault="00DA3711" w:rsidP="002F0FA6">
      <w:pPr>
        <w:spacing w:after="0"/>
      </w:pPr>
      <w:r>
        <w:separator/>
      </w:r>
    </w:p>
  </w:footnote>
  <w:footnote w:type="continuationSeparator" w:id="0">
    <w:p w14:paraId="7C20DF0B" w14:textId="77777777" w:rsidR="00DA3711" w:rsidRDefault="00DA3711" w:rsidP="002F0FA6">
      <w:pPr>
        <w:spacing w:after="0"/>
      </w:pPr>
      <w:r>
        <w:continuationSeparator/>
      </w:r>
    </w:p>
  </w:footnote>
  <w:footnote w:id="1">
    <w:p w14:paraId="53F5AD38" w14:textId="3233D064"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Pr="007B4628">
        <w:rPr>
          <w:rFonts w:asciiTheme="majorBidi" w:hAnsiTheme="majorBidi" w:cstheme="majorBidi"/>
          <w:i/>
          <w:iCs/>
        </w:rPr>
        <w:t>See</w:t>
      </w:r>
      <w:r w:rsidRPr="007B4628">
        <w:rPr>
          <w:rFonts w:asciiTheme="majorBidi" w:hAnsiTheme="majorBidi" w:cstheme="majorBidi"/>
        </w:rPr>
        <w:t xml:space="preserve"> 16 Tex. Admin. Code (TAC) § 22.78(a).</w:t>
      </w:r>
    </w:p>
  </w:footnote>
  <w:footnote w:id="2">
    <w:p w14:paraId="5930CF70" w14:textId="4E88A04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Tex. Water Code §§ 12.013, 13.043(f).</w:t>
      </w:r>
    </w:p>
  </w:footnote>
  <w:footnote w:id="3">
    <w:p w14:paraId="6BD892A7" w14:textId="4ED5A0D4"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 2-3.</w:t>
      </w:r>
    </w:p>
  </w:footnote>
  <w:footnote w:id="4">
    <w:p w14:paraId="5CA58F9A" w14:textId="0C3A5BB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Pr="007B4628">
        <w:rPr>
          <w:rFonts w:asciiTheme="majorBidi" w:hAnsiTheme="majorBidi" w:cstheme="majorBidi"/>
          <w:i/>
        </w:rPr>
        <w:t>See</w:t>
      </w:r>
      <w:r w:rsidRPr="007B4628">
        <w:rPr>
          <w:rFonts w:asciiTheme="majorBidi" w:hAnsiTheme="majorBidi" w:cstheme="majorBidi"/>
        </w:rPr>
        <w:t xml:space="preserve"> Original Petition Appealing Wholesale Water Rates (“Petition”) at 119-69 (Dec. 15, 2017).</w:t>
      </w:r>
    </w:p>
  </w:footnote>
  <w:footnote w:id="5">
    <w:p w14:paraId="78B6C617" w14:textId="1F18EB8B"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Pr="007B4628">
        <w:rPr>
          <w:rFonts w:asciiTheme="majorBidi" w:hAnsiTheme="majorBidi" w:cstheme="majorBidi"/>
          <w:i/>
        </w:rPr>
        <w:t xml:space="preserve">See </w:t>
      </w:r>
      <w:r w:rsidRPr="007B4628">
        <w:rPr>
          <w:rFonts w:asciiTheme="majorBidi" w:hAnsiTheme="majorBidi" w:cstheme="majorBidi"/>
        </w:rPr>
        <w:t>Petition at 3.</w:t>
      </w:r>
    </w:p>
  </w:footnote>
  <w:footnote w:id="6">
    <w:p w14:paraId="6AC9D877" w14:textId="4CAED2D8"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Pr="007B4628">
        <w:rPr>
          <w:rFonts w:asciiTheme="majorBidi" w:hAnsiTheme="majorBidi" w:cstheme="majorBidi"/>
          <w:i/>
        </w:rPr>
        <w:t>See</w:t>
      </w:r>
      <w:r w:rsidRPr="007B4628">
        <w:rPr>
          <w:rFonts w:asciiTheme="majorBidi" w:hAnsiTheme="majorBidi" w:cstheme="majorBidi"/>
        </w:rPr>
        <w:t xml:space="preserve"> Commission Staff’s Recommendation at 3 (Jan. 12, 2018).   </w:t>
      </w:r>
    </w:p>
  </w:footnote>
  <w:footnote w:id="7">
    <w:p w14:paraId="30701F42" w14:textId="182EC20C"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Cs/>
        </w:rPr>
        <w:t>Order of Referral</w:t>
      </w:r>
      <w:r w:rsidRPr="007B4628">
        <w:rPr>
          <w:rFonts w:asciiTheme="majorBidi" w:hAnsiTheme="majorBidi" w:cstheme="majorBidi"/>
        </w:rPr>
        <w:t xml:space="preserve"> (Jan. 22, 2018).</w:t>
      </w:r>
    </w:p>
  </w:footnote>
  <w:footnote w:id="8">
    <w:p w14:paraId="03D86ABC" w14:textId="1D8013A1"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 xml:space="preserve">Petition of the Cities of Garland, Mesquite, Plano and Richardson Appealing the Decision by North Texas Municipal Water District Affecting Wholesale Water Rates, </w:t>
      </w:r>
      <w:r w:rsidRPr="007B4628">
        <w:rPr>
          <w:rFonts w:asciiTheme="majorBidi" w:hAnsiTheme="majorBidi" w:cstheme="majorBidi"/>
        </w:rPr>
        <w:t xml:space="preserve">Docket No. 46662, Original Petition Appealing Wholesale Water Rates (Dec. 14, 2016). </w:t>
      </w:r>
    </w:p>
  </w:footnote>
  <w:footnote w:id="9">
    <w:p w14:paraId="2D5EA1CE" w14:textId="47C8BDC8"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007B4628">
        <w:rPr>
          <w:rFonts w:asciiTheme="majorBidi" w:hAnsiTheme="majorBidi" w:cstheme="majorBidi"/>
        </w:rPr>
        <w:t xml:space="preserve"> </w:t>
      </w:r>
      <w:r w:rsidRPr="007B4628">
        <w:rPr>
          <w:rFonts w:asciiTheme="majorBidi" w:hAnsiTheme="majorBidi" w:cstheme="majorBidi"/>
        </w:rPr>
        <w:t xml:space="preserve"> Docket No. 46662, North Texas Municipal Water District’s Response to Petition and Motion to Dismiss for Lack of Jurisdiction at 2-3 (Feb. 6, 2017).</w:t>
      </w:r>
    </w:p>
  </w:footnote>
  <w:footnote w:id="10">
    <w:p w14:paraId="227227AA" w14:textId="15889EEC"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007B4628">
        <w:rPr>
          <w:rFonts w:asciiTheme="majorBidi" w:hAnsiTheme="majorBidi" w:cstheme="majorBidi"/>
        </w:rPr>
        <w:t xml:space="preserve"> </w:t>
      </w:r>
      <w:r w:rsidRPr="007B4628">
        <w:rPr>
          <w:rFonts w:asciiTheme="majorBidi" w:hAnsiTheme="majorBidi" w:cstheme="majorBidi"/>
        </w:rPr>
        <w:t xml:space="preserve"> </w:t>
      </w:r>
      <w:r w:rsidRPr="007B4628">
        <w:rPr>
          <w:rFonts w:asciiTheme="majorBidi" w:hAnsiTheme="majorBidi" w:cstheme="majorBidi"/>
          <w:i/>
          <w:iCs/>
        </w:rPr>
        <w:t>N. Tex. Mun. Water Dist. v. Pub. Util. Comm’n</w:t>
      </w:r>
      <w:r w:rsidRPr="007B4628">
        <w:rPr>
          <w:rFonts w:asciiTheme="majorBidi" w:hAnsiTheme="majorBidi" w:cstheme="majorBidi"/>
        </w:rPr>
        <w:t>, No. D-1-GN-17-000877 (419th Dist. Ct., Travis County, Tex., filed Mar. 1, 2017).</w:t>
      </w:r>
    </w:p>
  </w:footnote>
  <w:footnote w:id="11">
    <w:p w14:paraId="106877B5" w14:textId="4B85119F"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bookmarkStart w:id="8" w:name="_Hlk507670355"/>
      <w:r w:rsidR="007B4628">
        <w:rPr>
          <w:rFonts w:asciiTheme="majorBidi" w:hAnsiTheme="majorBidi" w:cstheme="majorBidi"/>
        </w:rPr>
        <w:t xml:space="preserve"> </w:t>
      </w:r>
      <w:r w:rsidRPr="007B4628">
        <w:rPr>
          <w:rFonts w:asciiTheme="majorBidi" w:hAnsiTheme="majorBidi" w:cstheme="majorBidi"/>
        </w:rPr>
        <w:t xml:space="preserve"> Docket No. 46662, Preliminary Order (June 29, 2017)</w:t>
      </w:r>
      <w:bookmarkEnd w:id="8"/>
      <w:r w:rsidRPr="007B4628">
        <w:rPr>
          <w:rFonts w:asciiTheme="majorBidi" w:hAnsiTheme="majorBidi" w:cstheme="majorBidi"/>
        </w:rPr>
        <w:t>; Order Granting Plea to the Jurisdiction,</w:t>
      </w:r>
      <w:r w:rsidRPr="007B4628">
        <w:rPr>
          <w:rFonts w:asciiTheme="majorBidi" w:hAnsiTheme="majorBidi" w:cstheme="majorBidi"/>
          <w:i/>
          <w:iCs/>
        </w:rPr>
        <w:t xml:space="preserve"> N. Tex. Mun. Water Dist. v. Pub. Util. Comm’n</w:t>
      </w:r>
      <w:r w:rsidRPr="007B4628">
        <w:rPr>
          <w:rFonts w:asciiTheme="majorBidi" w:hAnsiTheme="majorBidi" w:cstheme="majorBidi"/>
        </w:rPr>
        <w:t>, No. D-1-GN-17-000877 (419th Dist. Ct., Travis County, Tex., May 19, 2017) (</w:t>
      </w:r>
      <w:r w:rsidR="00780D3C" w:rsidRPr="007B4628">
        <w:rPr>
          <w:rFonts w:asciiTheme="majorBidi" w:hAnsiTheme="majorBidi" w:cstheme="majorBidi"/>
        </w:rPr>
        <w:t xml:space="preserve">attached as </w:t>
      </w:r>
      <w:r w:rsidRPr="007B4628">
        <w:rPr>
          <w:rFonts w:asciiTheme="majorBidi" w:hAnsiTheme="majorBidi" w:cstheme="majorBidi"/>
        </w:rPr>
        <w:t xml:space="preserve">Attachment A).  The Petitioning Cities’ appeal in Docket No. 46662 is set for a public interest </w:t>
      </w:r>
      <w:r w:rsidR="00780D3C" w:rsidRPr="007B4628">
        <w:rPr>
          <w:rFonts w:asciiTheme="majorBidi" w:hAnsiTheme="majorBidi" w:cstheme="majorBidi"/>
        </w:rPr>
        <w:t>hearing on the merits before SOAH in May.</w:t>
      </w:r>
    </w:p>
  </w:footnote>
  <w:footnote w:id="12">
    <w:p w14:paraId="2EA943A6" w14:textId="759DD5D8"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 xml:space="preserve">In a footnote, the District states that the jurisdictional issues raised “are also germane to the ongoing proceeding in Docket No. 46662” and that “[t]he District maintains its position that the Commission lacks jurisdiction to consider both dockets and that both should be dismissed….” District’s Motion at 4, n.3. The Commission denied the District’s motion to dismiss in Docket No. 46662. </w:t>
      </w:r>
      <w:r w:rsidRPr="007B4628">
        <w:rPr>
          <w:rFonts w:asciiTheme="majorBidi" w:hAnsiTheme="majorBidi" w:cstheme="majorBidi"/>
          <w:i/>
          <w:iCs/>
        </w:rPr>
        <w:t xml:space="preserve">See </w:t>
      </w:r>
      <w:r w:rsidRPr="007B4628">
        <w:rPr>
          <w:rFonts w:asciiTheme="majorBidi" w:hAnsiTheme="majorBidi" w:cstheme="majorBidi"/>
        </w:rPr>
        <w:t>Docket No. 46662, Preliminary Order (June 29, 2017)</w:t>
      </w:r>
      <w:r w:rsidRPr="007B4628" w:rsidDel="000D3D39">
        <w:rPr>
          <w:rFonts w:asciiTheme="majorBidi" w:hAnsiTheme="majorBidi" w:cstheme="majorBidi"/>
        </w:rPr>
        <w:t xml:space="preserve"> </w:t>
      </w:r>
      <w:r w:rsidRPr="007B4628">
        <w:rPr>
          <w:rFonts w:asciiTheme="majorBidi" w:hAnsiTheme="majorBidi" w:cstheme="majorBidi"/>
        </w:rPr>
        <w:t xml:space="preserve">.  At the least, it is not procedurally proper to move to dismiss Docket No. 46662 in a footnote to a motion filed in Docket No. 47863. </w:t>
      </w:r>
    </w:p>
  </w:footnote>
  <w:footnote w:id="13">
    <w:p w14:paraId="5A286E21" w14:textId="6B67818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 4, n.3 (“The District similarly moved to dismiss that Docket [46662] for the same reasons it now so moves in this matter.”).</w:t>
      </w:r>
    </w:p>
  </w:footnote>
  <w:footnote w:id="14">
    <w:p w14:paraId="41F98BF8" w14:textId="3CBE9CA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Preliminary Order at 3.</w:t>
      </w:r>
    </w:p>
  </w:footnote>
  <w:footnote w:id="15">
    <w:p w14:paraId="2091CE4B" w14:textId="688811B0"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 xml:space="preserve">Id. at </w:t>
      </w:r>
      <w:r w:rsidRPr="007B4628">
        <w:rPr>
          <w:rFonts w:asciiTheme="majorBidi" w:hAnsiTheme="majorBidi" w:cstheme="majorBidi"/>
        </w:rPr>
        <w:t>15.</w:t>
      </w:r>
    </w:p>
  </w:footnote>
  <w:footnote w:id="16">
    <w:p w14:paraId="35CA51D6" w14:textId="6C978C10"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 xml:space="preserve">See </w:t>
      </w:r>
      <w:r w:rsidRPr="007B4628">
        <w:rPr>
          <w:rFonts w:asciiTheme="majorBidi" w:hAnsiTheme="majorBidi" w:cstheme="majorBidi"/>
        </w:rPr>
        <w:t>Act effective Sept. 1, 1989, 71st Leg., R.S., ch. 567, § 6, 1989 Tex. Gen. Laws 1883, 1887-88.</w:t>
      </w:r>
    </w:p>
  </w:footnote>
  <w:footnote w:id="17">
    <w:p w14:paraId="2DB246C0" w14:textId="63F30956"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 xml:space="preserve">See </w:t>
      </w:r>
      <w:r w:rsidRPr="007B4628">
        <w:rPr>
          <w:rFonts w:asciiTheme="majorBidi" w:hAnsiTheme="majorBidi" w:cstheme="majorBidi"/>
        </w:rPr>
        <w:t xml:space="preserve">Tex. Water Code § 13.043(f); </w:t>
      </w:r>
      <w:r w:rsidRPr="007B4628">
        <w:rPr>
          <w:rFonts w:asciiTheme="majorBidi" w:hAnsiTheme="majorBidi" w:cstheme="majorBidi"/>
          <w:i/>
          <w:iCs/>
        </w:rPr>
        <w:t>see also</w:t>
      </w:r>
      <w:r w:rsidRPr="007B4628">
        <w:rPr>
          <w:rFonts w:asciiTheme="majorBidi" w:hAnsiTheme="majorBidi" w:cstheme="majorBidi"/>
        </w:rPr>
        <w:t xml:space="preserve"> Act of May 25, 2013, 83rd Leg., R.S., ch. 170, § 2.96, 2013 Tex. Gen. Laws 725, 769-70 (“On September 1, 2014, the following are transferred from the Texas Commission on Environmental Quality to the Public Utility Commission of Texas: (1) the powers, duties, functions, programs, and activities of the Texas Commission on Environmental Quality relating to the economic regulation of water and sewer service, including . . . the determination of rates and the administration of hearings and proceedings involving those matters under Section 12.013 and Chapter 13, Water Code.”).</w:t>
      </w:r>
    </w:p>
  </w:footnote>
  <w:footnote w:id="18">
    <w:p w14:paraId="2B50FC95" w14:textId="3F3BCFC1"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Tex. Water Code § 13.043(f).</w:t>
      </w:r>
    </w:p>
  </w:footnote>
  <w:footnote w:id="19">
    <w:p w14:paraId="47F7A2F1" w14:textId="60B6A506"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 3.</w:t>
      </w:r>
    </w:p>
  </w:footnote>
  <w:footnote w:id="20">
    <w:p w14:paraId="473F88AD" w14:textId="78087A2C"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Petition at 12.</w:t>
      </w:r>
    </w:p>
  </w:footnote>
  <w:footnote w:id="21">
    <w:p w14:paraId="569256C3" w14:textId="2E50C8C3"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 2.</w:t>
      </w:r>
    </w:p>
  </w:footnote>
  <w:footnote w:id="22">
    <w:p w14:paraId="6AF0D953" w14:textId="603E9CDE"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Id.</w:t>
      </w:r>
      <w:r w:rsidRPr="007B4628">
        <w:rPr>
          <w:rFonts w:asciiTheme="majorBidi" w:hAnsiTheme="majorBidi" w:cstheme="majorBidi"/>
        </w:rPr>
        <w:t xml:space="preserve"> at 3-4.</w:t>
      </w:r>
    </w:p>
  </w:footnote>
  <w:footnote w:id="23">
    <w:p w14:paraId="1EEA9C06" w14:textId="730E13D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Attachment A at Section 9.</w:t>
      </w:r>
    </w:p>
  </w:footnote>
  <w:footnote w:id="24">
    <w:p w14:paraId="5D54713F" w14:textId="1E54F1C7" w:rsidR="00DA3711" w:rsidRPr="007B4628" w:rsidRDefault="00DA3711" w:rsidP="009C5176">
      <w:pPr>
        <w:pStyle w:val="FootnoteText"/>
        <w:spacing w:after="120"/>
        <w:ind w:firstLine="720"/>
        <w:rPr>
          <w:rFonts w:asciiTheme="majorBidi" w:hAnsiTheme="majorBidi" w:cstheme="majorBidi"/>
          <w:i/>
          <w:iCs/>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Id.</w:t>
      </w:r>
    </w:p>
  </w:footnote>
  <w:footnote w:id="25">
    <w:p w14:paraId="7718D239" w14:textId="504BD346"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Petition at 119-69.</w:t>
      </w:r>
    </w:p>
  </w:footnote>
  <w:footnote w:id="26">
    <w:p w14:paraId="78EE589B" w14:textId="5A3846B6"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875 S.W.2d 332, 335 (Tex. App.—Austin 1994, writ denied).</w:t>
      </w:r>
    </w:p>
  </w:footnote>
  <w:footnote w:id="27">
    <w:p w14:paraId="79F564D0" w14:textId="184FE468"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 xml:space="preserve">Id. </w:t>
      </w:r>
      <w:r w:rsidRPr="007B4628">
        <w:rPr>
          <w:rFonts w:asciiTheme="majorBidi" w:hAnsiTheme="majorBidi" w:cstheme="majorBidi"/>
          <w:iCs/>
        </w:rPr>
        <w:t>at</w:t>
      </w:r>
      <w:r w:rsidRPr="007B4628">
        <w:rPr>
          <w:rFonts w:asciiTheme="majorBidi" w:hAnsiTheme="majorBidi" w:cstheme="majorBidi"/>
        </w:rPr>
        <w:t xml:space="preserve"> 335.</w:t>
      </w:r>
    </w:p>
  </w:footnote>
  <w:footnote w:id="28">
    <w:p w14:paraId="592D3C32" w14:textId="05AF1A57"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Id</w:t>
      </w:r>
      <w:r w:rsidRPr="007B4628">
        <w:rPr>
          <w:rFonts w:asciiTheme="majorBidi" w:hAnsiTheme="majorBidi" w:cstheme="majorBidi"/>
        </w:rPr>
        <w:t>. at 335-36.</w:t>
      </w:r>
    </w:p>
  </w:footnote>
  <w:footnote w:id="29">
    <w:p w14:paraId="47DFC92D" w14:textId="2BE83E5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 14, n. 46.</w:t>
      </w:r>
    </w:p>
  </w:footnote>
  <w:footnote w:id="30">
    <w:p w14:paraId="7F40DFC7" w14:textId="0234BB11"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467 S.W.2d 532, 537 (Tex. App.—Austin 1971, writ ref’d n.r.e.).</w:t>
      </w:r>
    </w:p>
  </w:footnote>
  <w:footnote w:id="31">
    <w:p w14:paraId="67EB1F29" w14:textId="767CB133"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Fort Worth</w:t>
      </w:r>
      <w:r w:rsidRPr="007B4628">
        <w:rPr>
          <w:rFonts w:asciiTheme="majorBidi" w:hAnsiTheme="majorBidi" w:cstheme="majorBidi"/>
        </w:rPr>
        <w:t xml:space="preserve">, 875 S.W.2d at 336 (“Unlike the statute in </w:t>
      </w:r>
      <w:r w:rsidRPr="007B4628">
        <w:rPr>
          <w:rFonts w:asciiTheme="majorBidi" w:hAnsiTheme="majorBidi" w:cstheme="majorBidi"/>
          <w:i/>
        </w:rPr>
        <w:t>High Plains</w:t>
      </w:r>
      <w:r w:rsidRPr="007B4628">
        <w:rPr>
          <w:rFonts w:asciiTheme="majorBidi" w:hAnsiTheme="majorBidi" w:cstheme="majorBidi"/>
        </w:rPr>
        <w:t xml:space="preserve">, [Section 13.043 of the Texas Water Code] expressly requires the Commission to make a finding that the provider city’s rates are unreasonably preferential, prejudicial, or discriminatory before modifying these rates so that they are just and reasonable.  We need not imply such a requirement, as we did in </w:t>
      </w:r>
      <w:r w:rsidRPr="007B4628">
        <w:rPr>
          <w:rFonts w:asciiTheme="majorBidi" w:hAnsiTheme="majorBidi" w:cstheme="majorBidi"/>
          <w:i/>
        </w:rPr>
        <w:t>High Plains</w:t>
      </w:r>
      <w:r w:rsidRPr="007B4628">
        <w:rPr>
          <w:rFonts w:asciiTheme="majorBidi" w:hAnsiTheme="majorBidi" w:cstheme="majorBidi"/>
        </w:rPr>
        <w:t>, to ensure that the statute does not violate article I, section 16 of the Texas Constitution.”).</w:t>
      </w:r>
    </w:p>
  </w:footnote>
  <w:footnote w:id="32">
    <w:p w14:paraId="4918B08F" w14:textId="5C2395BC"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 xml:space="preserve">District’s Motion at 8. Elsewhere, the District (mis)cites </w:t>
      </w:r>
      <w:r w:rsidRPr="007B4628">
        <w:rPr>
          <w:rFonts w:asciiTheme="majorBidi" w:hAnsiTheme="majorBidi" w:cstheme="majorBidi"/>
          <w:i/>
          <w:iCs/>
        </w:rPr>
        <w:t>Leonard v. Cornyn</w:t>
      </w:r>
      <w:r w:rsidRPr="007B4628">
        <w:rPr>
          <w:rFonts w:asciiTheme="majorBidi" w:hAnsiTheme="majorBidi" w:cstheme="majorBidi"/>
        </w:rPr>
        <w:t xml:space="preserve"> to support the notion that its incontestable contract deprives the Commission of jurisdiction. District’s Motion at 10. The court in </w:t>
      </w:r>
      <w:r w:rsidRPr="007B4628">
        <w:rPr>
          <w:rFonts w:asciiTheme="majorBidi" w:hAnsiTheme="majorBidi" w:cstheme="majorBidi"/>
          <w:i/>
          <w:iCs/>
        </w:rPr>
        <w:t>Leonard</w:t>
      </w:r>
      <w:r w:rsidRPr="007B4628">
        <w:rPr>
          <w:rFonts w:asciiTheme="majorBidi" w:hAnsiTheme="majorBidi" w:cstheme="majorBidi"/>
        </w:rPr>
        <w:t xml:space="preserve">, however, did not apply Section 12.013 or 13.043(f) of the Texas Water Code and resolved a dispute over the validity of bonds. </w:t>
      </w:r>
      <w:r w:rsidRPr="007B4628">
        <w:rPr>
          <w:rFonts w:asciiTheme="majorBidi" w:hAnsiTheme="majorBidi" w:cstheme="majorBidi"/>
          <w:i/>
          <w:iCs/>
        </w:rPr>
        <w:t>Leonard v. Cornyn</w:t>
      </w:r>
      <w:r w:rsidRPr="007B4628">
        <w:rPr>
          <w:rFonts w:asciiTheme="majorBidi" w:hAnsiTheme="majorBidi" w:cstheme="majorBidi"/>
        </w:rPr>
        <w:t xml:space="preserve">, 47 S.W.3d 524, 528 (Tex.App.–Austin 1999, pet. denied) (“The procedures and requirements set out in article 717k-8 are therefore designed to provide an orderly, efficient system for assuring that the </w:t>
      </w:r>
      <w:r w:rsidRPr="007B4628">
        <w:rPr>
          <w:rFonts w:asciiTheme="majorBidi" w:hAnsiTheme="majorBidi" w:cstheme="majorBidi"/>
          <w:b/>
          <w:bCs/>
          <w:i/>
          <w:iCs/>
        </w:rPr>
        <w:t>bonds</w:t>
      </w:r>
      <w:r w:rsidRPr="007B4628">
        <w:rPr>
          <w:rFonts w:asciiTheme="majorBidi" w:hAnsiTheme="majorBidi" w:cstheme="majorBidi"/>
        </w:rPr>
        <w:t xml:space="preserve"> have been issued with the requisite authority and in compliance with what the law requires. By this means, protection is given alike to taxpayers, the counties and municipalities that issue the </w:t>
      </w:r>
      <w:r w:rsidRPr="007B4628">
        <w:rPr>
          <w:rFonts w:asciiTheme="majorBidi" w:hAnsiTheme="majorBidi" w:cstheme="majorBidi"/>
          <w:b/>
          <w:bCs/>
          <w:i/>
          <w:iCs/>
        </w:rPr>
        <w:t>bonds</w:t>
      </w:r>
      <w:r w:rsidRPr="007B4628">
        <w:rPr>
          <w:rFonts w:asciiTheme="majorBidi" w:hAnsiTheme="majorBidi" w:cstheme="majorBidi"/>
        </w:rPr>
        <w:t>, and those who take them. Without such a system, the questions of validity and enforceability would have to be determined through litigation.”) (emphasis added). The Petitioning Cities are challenging rates, not bonds.</w:t>
      </w:r>
    </w:p>
  </w:footnote>
  <w:footnote w:id="33">
    <w:p w14:paraId="367BEA8A" w14:textId="140C21CA"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Fort Worth</w:t>
      </w:r>
      <w:r w:rsidRPr="007B4628">
        <w:rPr>
          <w:rFonts w:asciiTheme="majorBidi" w:hAnsiTheme="majorBidi" w:cstheme="majorBidi"/>
        </w:rPr>
        <w:t>, 875 S.W.2d at 334 (emphasis added).</w:t>
      </w:r>
    </w:p>
  </w:footnote>
  <w:footnote w:id="34">
    <w:p w14:paraId="3E762495" w14:textId="193C6A42"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Id</w:t>
      </w:r>
      <w:r w:rsidRPr="007B4628">
        <w:rPr>
          <w:rFonts w:asciiTheme="majorBidi" w:hAnsiTheme="majorBidi" w:cstheme="majorBidi"/>
        </w:rPr>
        <w:t xml:space="preserve">. at 335-36.  </w:t>
      </w:r>
    </w:p>
  </w:footnote>
  <w:footnote w:id="35">
    <w:p w14:paraId="7EF732E4" w14:textId="37D40512"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Preliminary Order at 3.</w:t>
      </w:r>
    </w:p>
  </w:footnote>
  <w:footnote w:id="36">
    <w:p w14:paraId="32E1CC1B" w14:textId="4892A9EE"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16 TAC §§ 24.131(b) &amp; 24.132(a).</w:t>
      </w:r>
    </w:p>
  </w:footnote>
  <w:footnote w:id="37">
    <w:p w14:paraId="04779412" w14:textId="0E5C758C"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Id</w:t>
      </w:r>
      <w:r w:rsidRPr="007B4628">
        <w:rPr>
          <w:rFonts w:asciiTheme="majorBidi" w:hAnsiTheme="majorBidi" w:cstheme="majorBidi"/>
        </w:rPr>
        <w:t>. § 24.134(b).</w:t>
      </w:r>
    </w:p>
  </w:footnote>
  <w:footnote w:id="38">
    <w:p w14:paraId="44FAFE4C" w14:textId="2A91DF2E"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Id</w:t>
      </w:r>
      <w:r w:rsidRPr="007B4628">
        <w:rPr>
          <w:rFonts w:asciiTheme="majorBidi" w:hAnsiTheme="majorBidi" w:cstheme="majorBidi"/>
        </w:rPr>
        <w:t>. § 24.134(e).</w:t>
      </w:r>
    </w:p>
  </w:footnote>
  <w:footnote w:id="39">
    <w:p w14:paraId="020E235C" w14:textId="6CF671CA"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See</w:t>
      </w:r>
      <w:r w:rsidRPr="007B4628">
        <w:rPr>
          <w:rFonts w:asciiTheme="majorBidi" w:hAnsiTheme="majorBidi" w:cstheme="majorBidi"/>
        </w:rPr>
        <w:t xml:space="preserve"> 19 Tex. Reg. 6227 (Aug. 9, 1994).  </w:t>
      </w:r>
    </w:p>
  </w:footnote>
  <w:footnote w:id="40">
    <w:p w14:paraId="66CEDC50" w14:textId="4EDCB848"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Id</w:t>
      </w:r>
      <w:r w:rsidRPr="007B4628">
        <w:rPr>
          <w:rFonts w:asciiTheme="majorBidi" w:hAnsiTheme="majorBidi" w:cstheme="majorBidi"/>
        </w:rPr>
        <w:t>. at 6228.</w:t>
      </w:r>
    </w:p>
  </w:footnote>
  <w:footnote w:id="41">
    <w:p w14:paraId="2E913A94" w14:textId="57E84A2A"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 xml:space="preserve">Id. </w:t>
      </w:r>
    </w:p>
  </w:footnote>
  <w:footnote w:id="42">
    <w:p w14:paraId="67911FCB" w14:textId="743405CC"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 14.</w:t>
      </w:r>
    </w:p>
  </w:footnote>
  <w:footnote w:id="43">
    <w:p w14:paraId="09D866F5" w14:textId="3FF4AB0C"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 xml:space="preserve">Indeed, the Commission is often apprised of contractual provisions in its public interest review as that context assists the Commission in assessing abuse of monopoly power and whether rates are unreasonably discriminatory – the governing considerations in the public interest test.  </w:t>
      </w:r>
      <w:r w:rsidRPr="007B4628">
        <w:rPr>
          <w:rFonts w:asciiTheme="majorBidi" w:hAnsiTheme="majorBidi" w:cstheme="majorBidi"/>
          <w:i/>
          <w:iCs/>
        </w:rPr>
        <w:t>See, e.g</w:t>
      </w:r>
      <w:r w:rsidR="00F437BA" w:rsidRPr="007B4628">
        <w:rPr>
          <w:rFonts w:asciiTheme="majorBidi" w:hAnsiTheme="majorBidi" w:cstheme="majorBidi"/>
        </w:rPr>
        <w:t xml:space="preserve">., </w:t>
      </w:r>
      <w:r w:rsidR="00F437BA" w:rsidRPr="007B4628">
        <w:rPr>
          <w:rFonts w:asciiTheme="majorBidi" w:hAnsiTheme="majorBidi" w:cstheme="majorBidi"/>
          <w:i/>
          <w:iCs/>
        </w:rPr>
        <w:t>Appeal of Multi-County Water Supply Corp. to Review The Wholesale Water Rate Increase Imposed by the City of Hamilton</w:t>
      </w:r>
      <w:r w:rsidR="00F437BA" w:rsidRPr="007B4628">
        <w:rPr>
          <w:rFonts w:asciiTheme="majorBidi" w:hAnsiTheme="majorBidi" w:cstheme="majorBidi"/>
        </w:rPr>
        <w:t xml:space="preserve">, SOAH Docket No. 582-09-2557, Proposal for Decision at 8-9 (Apr. 13, 2010) (PFD) (discussing whether the terms of the contract created monopoly power); </w:t>
      </w:r>
      <w:r w:rsidR="00F437BA" w:rsidRPr="007B4628">
        <w:rPr>
          <w:rFonts w:asciiTheme="majorBidi" w:hAnsiTheme="majorBidi" w:cstheme="majorBidi"/>
          <w:i/>
          <w:iCs/>
        </w:rPr>
        <w:t>see also Petition of Travis County Municipal Utility District No. 12 Appealing Change of Wholesale Water Rates Implemented by the West Travis County Public Utility Agency; City of Bee Cave, Texas; Hays County, Texas; and West Travis County Municipal Utility District No. 5</w:t>
      </w:r>
      <w:r w:rsidR="00F437BA" w:rsidRPr="007B4628">
        <w:rPr>
          <w:rFonts w:asciiTheme="majorBidi" w:hAnsiTheme="majorBidi" w:cstheme="majorBidi"/>
        </w:rPr>
        <w:t>, Docket No. 42866, Proposal for Decision at 12-13 (Sept. 30, 2015) (PFD) (examining the terms of the contract to assess whether disparate bargaining power existed).</w:t>
      </w:r>
    </w:p>
  </w:footnote>
  <w:footnote w:id="44">
    <w:p w14:paraId="0A6DC2A9" w14:textId="2490CF75"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 xml:space="preserve">286 S.W.3d 397 (Tex. App.—Corpus Christi 2008, no pet.).  </w:t>
      </w:r>
    </w:p>
  </w:footnote>
  <w:footnote w:id="45">
    <w:p w14:paraId="2B23382C" w14:textId="60D3CAF3"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Id</w:t>
      </w:r>
      <w:r w:rsidRPr="007B4628">
        <w:rPr>
          <w:rFonts w:asciiTheme="majorBidi" w:hAnsiTheme="majorBidi" w:cstheme="majorBidi"/>
        </w:rPr>
        <w:t xml:space="preserve">. at 400-01.  </w:t>
      </w:r>
    </w:p>
  </w:footnote>
  <w:footnote w:id="46">
    <w:p w14:paraId="0B61C5C7" w14:textId="2AB440B3"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 xml:space="preserve">Id. </w:t>
      </w:r>
      <w:r w:rsidRPr="007B4628">
        <w:rPr>
          <w:rFonts w:asciiTheme="majorBidi" w:hAnsiTheme="majorBidi" w:cstheme="majorBidi"/>
        </w:rPr>
        <w:t xml:space="preserve">at 403, 405.  </w:t>
      </w:r>
    </w:p>
  </w:footnote>
  <w:footnote w:id="47">
    <w:p w14:paraId="593685E5" w14:textId="19100A8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Id</w:t>
      </w:r>
      <w:r w:rsidRPr="007B4628">
        <w:rPr>
          <w:rFonts w:asciiTheme="majorBidi" w:hAnsiTheme="majorBidi" w:cstheme="majorBidi"/>
        </w:rPr>
        <w:t xml:space="preserve">. at 403 (explaining that “[w]hile many written contracts contain a fixed price, some contracts contain a pricing scheme that is commonly known as an ‘open term price.’”).  </w:t>
      </w:r>
    </w:p>
  </w:footnote>
  <w:footnote w:id="48">
    <w:p w14:paraId="7BA3A9A9" w14:textId="20241B2B"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 xml:space="preserve">Id. </w:t>
      </w:r>
      <w:r w:rsidRPr="007B4628">
        <w:rPr>
          <w:rFonts w:asciiTheme="majorBidi" w:hAnsiTheme="majorBidi" w:cstheme="majorBidi"/>
        </w:rPr>
        <w:t>at 405-06.</w:t>
      </w:r>
    </w:p>
  </w:footnote>
  <w:footnote w:id="49">
    <w:p w14:paraId="7DA4AC83" w14:textId="375B1B1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 15.</w:t>
      </w:r>
    </w:p>
  </w:footnote>
  <w:footnote w:id="50">
    <w:p w14:paraId="2ABA3356" w14:textId="42457BDE"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 xml:space="preserve">See </w:t>
      </w:r>
      <w:r w:rsidRPr="007B4628">
        <w:rPr>
          <w:rFonts w:asciiTheme="majorBidi" w:hAnsiTheme="majorBidi" w:cstheme="majorBidi"/>
        </w:rPr>
        <w:t xml:space="preserve">Event Notice Pursuant to S.E.C. Rule 15c2-12 relating to North Texas Municipal Water District (Mar. 10, 2017) (emphasis added) (Attachment B).  </w:t>
      </w:r>
    </w:p>
  </w:footnote>
  <w:footnote w:id="51">
    <w:p w14:paraId="5CC7F595" w14:textId="31F23B6C"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007B4628">
        <w:rPr>
          <w:rFonts w:asciiTheme="majorBidi" w:hAnsiTheme="majorBidi" w:cstheme="majorBidi"/>
        </w:rPr>
        <w:t xml:space="preserve"> </w:t>
      </w:r>
      <w:r w:rsidRPr="007B4628">
        <w:rPr>
          <w:rFonts w:asciiTheme="majorBidi" w:hAnsiTheme="majorBidi" w:cstheme="majorBidi"/>
        </w:rPr>
        <w:t xml:space="preserve"> Chapter 12 of the Texas Water Code provides that “[t]he utility commission in reviewing and fixing reasonable rates for furnishing water under this section may use any reasonable basis for fixing rates as may be determined by the utility commission to be appropriate under the circumstances of the case being reviewed.”  Tex. Water Code § 12.013(c).  And Chapter 11 of the Texas Water Code lists purposes for which water may be appropriated, including for municipal, agricultural, and industrial uses.  The District holds state water use permits authorizing diversion and use of water for “municipal, industrial and agricultural purposes.”  </w:t>
      </w:r>
      <w:r w:rsidRPr="007B4628">
        <w:rPr>
          <w:rFonts w:asciiTheme="majorBidi" w:hAnsiTheme="majorBidi" w:cstheme="majorBidi"/>
          <w:i/>
          <w:iCs/>
        </w:rPr>
        <w:t xml:space="preserve">See </w:t>
      </w:r>
      <w:r w:rsidRPr="007B4628">
        <w:rPr>
          <w:rFonts w:asciiTheme="majorBidi" w:hAnsiTheme="majorBidi" w:cstheme="majorBidi"/>
        </w:rPr>
        <w:t xml:space="preserve">TCEQ Water Use Permit No. 12151.  Thus, “purpose[s] mentioned in Chapter 11 or 12” exist for the Commission to fix the District’s rates under Section 12.013. </w:t>
      </w:r>
    </w:p>
  </w:footnote>
  <w:footnote w:id="52">
    <w:p w14:paraId="7E253DE0" w14:textId="3FD50F4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Tex. Water Comm’n v. Boyt Realty Co.</w:t>
      </w:r>
      <w:r w:rsidRPr="007B4628">
        <w:rPr>
          <w:rFonts w:asciiTheme="majorBidi" w:hAnsiTheme="majorBidi" w:cstheme="majorBidi"/>
        </w:rPr>
        <w:t>, 10 S.W.3d 334, 338 (Tex. App.—Austin 1993, no writ) (citing Section 12.013, and stating that “[t]he Legislature granted the Commission broad authority in this area.”).</w:t>
      </w:r>
    </w:p>
  </w:footnote>
  <w:footnote w:id="53">
    <w:p w14:paraId="08516691" w14:textId="3C3E3BE8"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 3.</w:t>
      </w:r>
    </w:p>
  </w:footnote>
  <w:footnote w:id="54">
    <w:p w14:paraId="7077D5E8" w14:textId="043509F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See</w:t>
      </w:r>
      <w:r w:rsidRPr="007B4628">
        <w:rPr>
          <w:rFonts w:asciiTheme="majorBidi" w:hAnsiTheme="majorBidi" w:cstheme="majorBidi"/>
        </w:rPr>
        <w:t xml:space="preserve"> Act of April 23, 1975, 64th Leg., R.S., ch. 90, §1(n) 1975 Tex. Gen. Laws 238, 241.</w:t>
      </w:r>
    </w:p>
  </w:footnote>
  <w:footnote w:id="55">
    <w:p w14:paraId="40561EBE" w14:textId="48FE058A"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 xml:space="preserve">See </w:t>
      </w:r>
      <w:r w:rsidRPr="007B4628">
        <w:rPr>
          <w:rFonts w:asciiTheme="majorBidi" w:hAnsiTheme="majorBidi" w:cstheme="majorBidi"/>
        </w:rPr>
        <w:t>Tex. Water Code § 6.056 (1974).</w:t>
      </w:r>
    </w:p>
  </w:footnote>
  <w:footnote w:id="56">
    <w:p w14:paraId="42E6236F" w14:textId="0AF718BC"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See</w:t>
      </w:r>
      <w:r w:rsidRPr="007B4628">
        <w:rPr>
          <w:rFonts w:asciiTheme="majorBidi" w:hAnsiTheme="majorBidi" w:cstheme="majorBidi"/>
        </w:rPr>
        <w:t xml:space="preserve"> Tex. Water Code § 12.013 (VTCA 1987) (“Derivation: Former Section 6.056, as amended by Acts 1977, 65th Leg., p. 1650, ch. 647, § 1.”).</w:t>
      </w:r>
    </w:p>
  </w:footnote>
  <w:footnote w:id="57">
    <w:p w14:paraId="11EA2CF3" w14:textId="4E3412FF"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Tex. Water Code § 12.013(a).</w:t>
      </w:r>
    </w:p>
  </w:footnote>
  <w:footnote w:id="58">
    <w:p w14:paraId="5FCB0EA9" w14:textId="4FBB6E81"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iCs/>
        </w:rPr>
        <w:t>See Trinity River Auth. v. Tex. Water Rights Comm’n</w:t>
      </w:r>
      <w:r w:rsidRPr="007B4628">
        <w:rPr>
          <w:rFonts w:asciiTheme="majorBidi" w:hAnsiTheme="majorBidi" w:cstheme="majorBidi"/>
        </w:rPr>
        <w:t>, 481 S.W.2d 192, 194-96 (Tex. App.—Austin 1972, writ ref’d n.r.e.) (holding that, contrary to the Trinity River Authority’s argument that its enabling act deprived the commission of rate making jurisdiction, nothing in the enabling act conflicted with the regulatory scheme for the fixing of water rates, including the scheme under Section 6.056 [now, Section 12.013] of the Texas Water Code).</w:t>
      </w:r>
    </w:p>
  </w:footnote>
  <w:footnote w:id="59">
    <w:p w14:paraId="0E18883A" w14:textId="20886D38"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Attachment A to District’s Motion, Section 15.</w:t>
      </w:r>
    </w:p>
  </w:footnote>
  <w:footnote w:id="60">
    <w:p w14:paraId="5D0BDA9C" w14:textId="2CD541E8"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District’s Motion at 9 (“Because of the District’s bond-issuing responsibilities, the Facilities Contract, including its rate provisions, is made incontestable by the District’s enabling legislation.”).</w:t>
      </w:r>
    </w:p>
  </w:footnote>
  <w:footnote w:id="61">
    <w:p w14:paraId="15BA272C" w14:textId="0526C43A"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Preliminary Order at 18.  The Commission’s experience disproves the District’s baseless statement that its jurisdictional arguments regarding contract incontestability “would not apply to many, if not the majority of, wholesale water contracts in this state.” District’s Motion at 16.</w:t>
      </w:r>
    </w:p>
  </w:footnote>
  <w:footnote w:id="62">
    <w:p w14:paraId="6B4D96C7" w14:textId="2BA21925"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
        </w:rPr>
        <w:t>See, e.g.</w:t>
      </w:r>
      <w:r w:rsidRPr="007B4628">
        <w:rPr>
          <w:rFonts w:asciiTheme="majorBidi" w:hAnsiTheme="majorBidi" w:cstheme="majorBidi"/>
        </w:rPr>
        <w:t>, Resolution No. 16-44 Authorizing Issuance of 2016 Bonds, Gen. Covenants § 24(m) at 32 (Oct. 27, 2016) (“[T]he Contracts may be modified or amended to change the allocation of the Annual Requirement (as defined in the Contracts) among the Member Cities by changing the basis for determination of each Member City’s minimum amount of each Annual Requirement.”) (Attachment C).</w:t>
      </w:r>
    </w:p>
  </w:footnote>
  <w:footnote w:id="63">
    <w:p w14:paraId="19D8A161" w14:textId="6ECBCB99"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iCs/>
        </w:rPr>
        <w:t>16 TAC</w:t>
      </w:r>
      <w:r w:rsidRPr="007B4628">
        <w:rPr>
          <w:rFonts w:asciiTheme="majorBidi" w:hAnsiTheme="majorBidi" w:cstheme="majorBidi"/>
          <w:i/>
        </w:rPr>
        <w:t xml:space="preserve"> </w:t>
      </w:r>
      <w:r w:rsidRPr="007B4628">
        <w:rPr>
          <w:rFonts w:asciiTheme="majorBidi" w:hAnsiTheme="majorBidi" w:cstheme="majorBidi"/>
        </w:rPr>
        <w:t>§ 24.134(e),</w:t>
      </w:r>
    </w:p>
  </w:footnote>
  <w:footnote w:id="64">
    <w:p w14:paraId="5A5C1F98" w14:textId="1BE57DB0"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Tex. Water Code § 12.013(c).</w:t>
      </w:r>
    </w:p>
  </w:footnote>
  <w:footnote w:id="65">
    <w:p w14:paraId="611C6C9D" w14:textId="49F6B21E" w:rsidR="00DA3711" w:rsidRPr="007B4628"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Preliminary Order at 10.</w:t>
      </w:r>
    </w:p>
  </w:footnote>
  <w:footnote w:id="66">
    <w:p w14:paraId="32C3C473" w14:textId="4A0CE874" w:rsidR="00DA3711" w:rsidRPr="00B9191B" w:rsidRDefault="00DA3711" w:rsidP="009C5176">
      <w:pPr>
        <w:pStyle w:val="FootnoteText"/>
        <w:spacing w:after="120"/>
        <w:ind w:firstLine="720"/>
        <w:rPr>
          <w:rFonts w:asciiTheme="majorBidi" w:hAnsiTheme="majorBidi" w:cstheme="majorBidi"/>
        </w:rPr>
      </w:pPr>
      <w:r w:rsidRPr="007B4628">
        <w:rPr>
          <w:rStyle w:val="FootnoteReference"/>
          <w:rFonts w:asciiTheme="majorBidi" w:hAnsiTheme="majorBidi" w:cstheme="majorBidi"/>
        </w:rPr>
        <w:footnoteRef/>
      </w:r>
      <w:r w:rsidRPr="007B4628">
        <w:rPr>
          <w:rFonts w:asciiTheme="majorBidi" w:hAnsiTheme="majorBidi" w:cstheme="majorBidi"/>
        </w:rPr>
        <w:t xml:space="preserve"> </w:t>
      </w:r>
      <w:r w:rsidR="007B4628">
        <w:rPr>
          <w:rFonts w:asciiTheme="majorBidi" w:hAnsiTheme="majorBidi" w:cstheme="majorBidi"/>
        </w:rPr>
        <w:t xml:space="preserve"> </w:t>
      </w:r>
      <w:r w:rsidRPr="007B4628">
        <w:rPr>
          <w:rFonts w:asciiTheme="majorBidi" w:hAnsiTheme="majorBidi" w:cstheme="majorBidi"/>
        </w:rPr>
        <w:t>Preliminary Order at 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18AFE02"/>
    <w:lvl w:ilvl="0">
      <w:start w:val="1"/>
      <w:numFmt w:val="bullet"/>
      <w:lvlText w:val=""/>
      <w:lvlJc w:val="left"/>
      <w:pPr>
        <w:tabs>
          <w:tab w:val="num" w:pos="720"/>
        </w:tabs>
        <w:ind w:left="720" w:hanging="648"/>
      </w:pPr>
      <w:rPr>
        <w:rFonts w:ascii="Symbol" w:hAnsi="Symbol" w:hint="default"/>
      </w:rPr>
    </w:lvl>
  </w:abstractNum>
  <w:abstractNum w:abstractNumId="1" w15:restartNumberingAfterBreak="0">
    <w:nsid w:val="05C63A1D"/>
    <w:multiLevelType w:val="multilevel"/>
    <w:tmpl w:val="20304B46"/>
    <w:name w:val="ListBullet"/>
    <w:lvl w:ilvl="0">
      <w:start w:val="1"/>
      <w:numFmt w:val="bullet"/>
      <w:pStyle w:val="LBListBullet"/>
      <w:lvlText w:val=""/>
      <w:lvlJc w:val="left"/>
      <w:pPr>
        <w:ind w:left="720" w:hanging="720"/>
      </w:pPr>
      <w:rPr>
        <w:rFonts w:ascii="Symbol" w:hAnsi="Symbol" w:hint="default"/>
      </w:rPr>
    </w:lvl>
    <w:lvl w:ilvl="1">
      <w:start w:val="1"/>
      <w:numFmt w:val="bullet"/>
      <w:lvlText w:val=""/>
      <w:lvlJc w:val="left"/>
      <w:pPr>
        <w:ind w:left="1440" w:hanging="720"/>
      </w:pPr>
      <w:rPr>
        <w:rFonts w:ascii="Symbol" w:hAnsi="Symbol" w:hint="default"/>
      </w:rPr>
    </w:lvl>
    <w:lvl w:ilvl="2">
      <w:start w:val="1"/>
      <w:numFmt w:val="bullet"/>
      <w:lvlText w:val=""/>
      <w:lvlJc w:val="left"/>
      <w:pPr>
        <w:ind w:left="2160" w:hanging="720"/>
      </w:pPr>
      <w:rPr>
        <w:rFonts w:ascii="Symbol" w:hAnsi="Symbol" w:hint="default"/>
      </w:rPr>
    </w:lvl>
    <w:lvl w:ilvl="3">
      <w:start w:val="1"/>
      <w:numFmt w:val="bullet"/>
      <w:lvlText w:val=""/>
      <w:lvlJc w:val="left"/>
      <w:pPr>
        <w:ind w:left="2880" w:hanging="720"/>
      </w:pPr>
      <w:rPr>
        <w:rFonts w:ascii="Symbol" w:hAnsi="Symbol" w:hint="default"/>
      </w:rPr>
    </w:lvl>
    <w:lvl w:ilvl="4">
      <w:start w:val="1"/>
      <w:numFmt w:val="bullet"/>
      <w:lvlText w:val=""/>
      <w:lvlJc w:val="left"/>
      <w:pPr>
        <w:ind w:left="3600" w:hanging="720"/>
      </w:pPr>
      <w:rPr>
        <w:rFonts w:ascii="Symbol" w:hAnsi="Symbol" w:hint="default"/>
      </w:rPr>
    </w:lvl>
    <w:lvl w:ilvl="5">
      <w:start w:val="1"/>
      <w:numFmt w:val="bullet"/>
      <w:lvlText w:val=""/>
      <w:lvlJc w:val="left"/>
      <w:pPr>
        <w:ind w:left="4320" w:hanging="720"/>
      </w:pPr>
      <w:rPr>
        <w:rFonts w:ascii="Symbol" w:hAnsi="Symbol" w:hint="default"/>
      </w:rPr>
    </w:lvl>
    <w:lvl w:ilvl="6">
      <w:start w:val="1"/>
      <w:numFmt w:val="bullet"/>
      <w:lvlText w:val=""/>
      <w:lvlJc w:val="left"/>
      <w:pPr>
        <w:ind w:left="5040" w:hanging="720"/>
      </w:pPr>
      <w:rPr>
        <w:rFonts w:ascii="Symbol" w:hAnsi="Symbol" w:hint="default"/>
      </w:rPr>
    </w:lvl>
    <w:lvl w:ilvl="7">
      <w:start w:val="1"/>
      <w:numFmt w:val="bullet"/>
      <w:lvlText w:val=""/>
      <w:lvlJc w:val="left"/>
      <w:pPr>
        <w:ind w:left="5760" w:hanging="720"/>
      </w:pPr>
      <w:rPr>
        <w:rFonts w:ascii="Symbol" w:hAnsi="Symbol" w:hint="default"/>
      </w:rPr>
    </w:lvl>
    <w:lvl w:ilvl="8">
      <w:start w:val="1"/>
      <w:numFmt w:val="bullet"/>
      <w:lvlText w:val=""/>
      <w:lvlJc w:val="left"/>
      <w:pPr>
        <w:ind w:left="6480" w:hanging="720"/>
      </w:pPr>
      <w:rPr>
        <w:rFonts w:ascii="Symbol" w:hAnsi="Symbol" w:hint="default"/>
      </w:rPr>
    </w:lvl>
  </w:abstractNum>
  <w:abstractNum w:abstractNumId="2" w15:restartNumberingAfterBreak="0">
    <w:nsid w:val="16CE084A"/>
    <w:multiLevelType w:val="hybridMultilevel"/>
    <w:tmpl w:val="45A428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EB1520"/>
    <w:multiLevelType w:val="hybridMultilevel"/>
    <w:tmpl w:val="1286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E094D"/>
    <w:multiLevelType w:val="multilevel"/>
    <w:tmpl w:val="C646F9D4"/>
    <w:name w:val="ListNumber"/>
    <w:lvl w:ilvl="0">
      <w:start w:val="1"/>
      <w:numFmt w:val="decimal"/>
      <w:pStyle w:val="LN1ListNumb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688"/>
        </w:tabs>
        <w:ind w:left="5760" w:hanging="720"/>
      </w:pPr>
      <w:rPr>
        <w:rFonts w:hint="default"/>
      </w:rPr>
    </w:lvl>
    <w:lvl w:ilvl="8">
      <w:start w:val="1"/>
      <w:numFmt w:val="decimal"/>
      <w:lvlText w:val="%9."/>
      <w:lvlJc w:val="left"/>
      <w:pPr>
        <w:tabs>
          <w:tab w:val="num" w:pos="6408"/>
        </w:tabs>
        <w:ind w:left="6480" w:hanging="720"/>
      </w:pPr>
      <w:rPr>
        <w:rFonts w:hint="default"/>
      </w:rPr>
    </w:lvl>
  </w:abstractNum>
  <w:abstractNum w:abstractNumId="5" w15:restartNumberingAfterBreak="0">
    <w:nsid w:val="25875702"/>
    <w:multiLevelType w:val="hybridMultilevel"/>
    <w:tmpl w:val="42E6D9BE"/>
    <w:lvl w:ilvl="0" w:tplc="3F7E2E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3D1CAA"/>
    <w:multiLevelType w:val="multilevel"/>
    <w:tmpl w:val="045233C8"/>
    <w:name w:val="Pleading Headings-Scheme 1"/>
    <w:lvl w:ilvl="0">
      <w:start w:val="1"/>
      <w:numFmt w:val="upperRoman"/>
      <w:pStyle w:val="Heading1"/>
      <w:suff w:val="nothing"/>
      <w:lvlText w:val="%1."/>
      <w:lvlJc w:val="left"/>
      <w:pPr>
        <w:ind w:left="0" w:firstLine="0"/>
      </w:pPr>
      <w:rPr>
        <w:rFonts w:hint="default"/>
        <w:caps w:val="0"/>
        <w:vanish w:val="0"/>
        <w:color w:val="000000"/>
        <w:u w:val="none"/>
      </w:rPr>
    </w:lvl>
    <w:lvl w:ilvl="1">
      <w:start w:val="1"/>
      <w:numFmt w:val="upperLetter"/>
      <w:pStyle w:val="Heading2"/>
      <w:lvlText w:val="%2."/>
      <w:lvlJc w:val="left"/>
      <w:pPr>
        <w:ind w:left="1440" w:hanging="720"/>
      </w:pPr>
      <w:rPr>
        <w:rFonts w:hint="default"/>
        <w:b/>
        <w:i/>
        <w:vanish w:val="0"/>
        <w:color w:val="000000"/>
        <w:u w:val="none"/>
      </w:rPr>
    </w:lvl>
    <w:lvl w:ilvl="2">
      <w:start w:val="1"/>
      <w:numFmt w:val="decimal"/>
      <w:pStyle w:val="Heading3"/>
      <w:lvlText w:val="%3."/>
      <w:lvlJc w:val="left"/>
      <w:pPr>
        <w:ind w:left="2160" w:hanging="720"/>
      </w:pPr>
      <w:rPr>
        <w:rFonts w:hint="default"/>
        <w:b/>
        <w:i w:val="0"/>
        <w:vanish w:val="0"/>
        <w:color w:val="000000"/>
        <w:u w:val="none"/>
      </w:rPr>
    </w:lvl>
    <w:lvl w:ilvl="3">
      <w:start w:val="1"/>
      <w:numFmt w:val="lowerLetter"/>
      <w:pStyle w:val="Heading4"/>
      <w:lvlText w:val="%4."/>
      <w:lvlJc w:val="left"/>
      <w:pPr>
        <w:ind w:left="2880" w:hanging="720"/>
      </w:pPr>
      <w:rPr>
        <w:rFonts w:hint="default"/>
        <w:vanish w:val="0"/>
        <w:color w:val="010000"/>
        <w:u w:val="none"/>
      </w:rPr>
    </w:lvl>
    <w:lvl w:ilvl="4">
      <w:start w:val="1"/>
      <w:numFmt w:val="decimal"/>
      <w:pStyle w:val="Heading5"/>
      <w:lvlText w:val="(%5)"/>
      <w:lvlJc w:val="left"/>
      <w:pPr>
        <w:ind w:left="3600" w:hanging="720"/>
      </w:pPr>
      <w:rPr>
        <w:rFonts w:hint="default"/>
        <w:vanish w:val="0"/>
        <w:color w:val="010000"/>
        <w:u w:val="none"/>
      </w:rPr>
    </w:lvl>
    <w:lvl w:ilvl="5">
      <w:start w:val="1"/>
      <w:numFmt w:val="lowerLetter"/>
      <w:pStyle w:val="Heading6"/>
      <w:lvlText w:val="(%6)"/>
      <w:lvlJc w:val="left"/>
      <w:pPr>
        <w:ind w:left="4320" w:hanging="720"/>
      </w:pPr>
      <w:rPr>
        <w:rFonts w:hint="default"/>
        <w:vanish w:val="0"/>
        <w:color w:val="010000"/>
        <w:u w:val="none"/>
      </w:rPr>
    </w:lvl>
    <w:lvl w:ilvl="6">
      <w:start w:val="1"/>
      <w:numFmt w:val="lowerRoman"/>
      <w:pStyle w:val="Heading7"/>
      <w:lvlText w:val="(%7)"/>
      <w:lvlJc w:val="left"/>
      <w:pPr>
        <w:ind w:left="5040" w:hanging="720"/>
      </w:pPr>
      <w:rPr>
        <w:rFonts w:hint="default"/>
        <w:vanish w:val="0"/>
        <w:color w:val="010000"/>
        <w:u w:val="none"/>
      </w:rPr>
    </w:lvl>
    <w:lvl w:ilvl="7">
      <w:start w:val="1"/>
      <w:numFmt w:val="lowerLetter"/>
      <w:pStyle w:val="Heading8"/>
      <w:lvlText w:val="%8)"/>
      <w:lvlJc w:val="left"/>
      <w:pPr>
        <w:ind w:left="5760" w:hanging="720"/>
      </w:pPr>
      <w:rPr>
        <w:rFonts w:hint="default"/>
        <w:vanish w:val="0"/>
        <w:color w:val="010000"/>
        <w:u w:val="none"/>
      </w:rPr>
    </w:lvl>
    <w:lvl w:ilvl="8">
      <w:start w:val="1"/>
      <w:numFmt w:val="lowerRoman"/>
      <w:pStyle w:val="Heading9"/>
      <w:lvlText w:val="%9)"/>
      <w:lvlJc w:val="left"/>
      <w:pPr>
        <w:ind w:left="6480" w:hanging="720"/>
      </w:pPr>
      <w:rPr>
        <w:rFonts w:hint="default"/>
        <w:vanish w:val="0"/>
        <w:color w:val="010000"/>
        <w:u w:val="none"/>
      </w:rPr>
    </w:lvl>
  </w:abstractNum>
  <w:abstractNum w:abstractNumId="7" w15:restartNumberingAfterBreak="0">
    <w:nsid w:val="46B958C6"/>
    <w:multiLevelType w:val="multilevel"/>
    <w:tmpl w:val="49849E32"/>
    <w:name w:val="ListNumber2"/>
    <w:lvl w:ilvl="0">
      <w:start w:val="1"/>
      <w:numFmt w:val="upperLetter"/>
      <w:pStyle w:val="LN2ListNumber"/>
      <w:lvlText w:val="%1."/>
      <w:lvlJc w:val="left"/>
      <w:pPr>
        <w:ind w:left="720" w:hanging="720"/>
      </w:pPr>
      <w:rPr>
        <w:rFonts w:hint="default"/>
      </w:rPr>
    </w:lvl>
    <w:lvl w:ilvl="1">
      <w:start w:val="1"/>
      <w:numFmt w:val="upperLetter"/>
      <w:lvlText w:val="%2."/>
      <w:lvlJc w:val="left"/>
      <w:pPr>
        <w:ind w:left="1440" w:hanging="720"/>
      </w:pPr>
      <w:rPr>
        <w:rFonts w:hint="default"/>
      </w:rPr>
    </w:lvl>
    <w:lvl w:ilvl="2">
      <w:start w:val="1"/>
      <w:numFmt w:val="upperLetter"/>
      <w:lvlText w:val="%3."/>
      <w:lvlJc w:val="left"/>
      <w:pPr>
        <w:ind w:left="2160" w:hanging="720"/>
      </w:pPr>
      <w:rPr>
        <w:rFonts w:hint="default"/>
      </w:rPr>
    </w:lvl>
    <w:lvl w:ilvl="3">
      <w:start w:val="1"/>
      <w:numFmt w:val="upperLetter"/>
      <w:lvlText w:val="%4."/>
      <w:lvlJc w:val="left"/>
      <w:pPr>
        <w:ind w:left="2880" w:hanging="720"/>
      </w:pPr>
      <w:rPr>
        <w:rFonts w:hint="default"/>
      </w:rPr>
    </w:lvl>
    <w:lvl w:ilvl="4">
      <w:start w:val="1"/>
      <w:numFmt w:val="upperLetter"/>
      <w:lvlText w:val="%5."/>
      <w:lvlJc w:val="left"/>
      <w:pPr>
        <w:ind w:left="3600" w:hanging="720"/>
      </w:pPr>
      <w:rPr>
        <w:rFonts w:hint="default"/>
      </w:rPr>
    </w:lvl>
    <w:lvl w:ilvl="5">
      <w:start w:val="1"/>
      <w:numFmt w:val="upperLetter"/>
      <w:lvlText w:val="%6."/>
      <w:lvlJc w:val="left"/>
      <w:pPr>
        <w:ind w:left="4320" w:hanging="720"/>
      </w:pPr>
      <w:rPr>
        <w:rFonts w:hint="default"/>
      </w:rPr>
    </w:lvl>
    <w:lvl w:ilvl="6">
      <w:start w:val="1"/>
      <w:numFmt w:val="upperLetter"/>
      <w:lvlText w:val="%7."/>
      <w:lvlJc w:val="left"/>
      <w:pPr>
        <w:ind w:left="5040" w:hanging="720"/>
      </w:pPr>
      <w:rPr>
        <w:rFonts w:hint="default"/>
      </w:rPr>
    </w:lvl>
    <w:lvl w:ilvl="7">
      <w:start w:val="1"/>
      <w:numFmt w:val="upperLetter"/>
      <w:lvlText w:val="%8."/>
      <w:lvlJc w:val="left"/>
      <w:pPr>
        <w:ind w:left="5760" w:hanging="720"/>
      </w:pPr>
      <w:rPr>
        <w:rFonts w:hint="default"/>
      </w:rPr>
    </w:lvl>
    <w:lvl w:ilvl="8">
      <w:start w:val="1"/>
      <w:numFmt w:val="upperLetter"/>
      <w:lvlText w:val="%9."/>
      <w:lvlJc w:val="left"/>
      <w:pPr>
        <w:ind w:left="6480" w:hanging="720"/>
      </w:pPr>
      <w:rPr>
        <w:rFonts w:hint="default"/>
      </w:rPr>
    </w:lvl>
  </w:abstractNum>
  <w:abstractNum w:abstractNumId="8" w15:restartNumberingAfterBreak="0">
    <w:nsid w:val="48011679"/>
    <w:multiLevelType w:val="hybridMultilevel"/>
    <w:tmpl w:val="BAE0AC8A"/>
    <w:lvl w:ilvl="0" w:tplc="FF84377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B752F"/>
    <w:multiLevelType w:val="hybridMultilevel"/>
    <w:tmpl w:val="DC1837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1EB7B87"/>
    <w:multiLevelType w:val="hybridMultilevel"/>
    <w:tmpl w:val="5C50BBF6"/>
    <w:lvl w:ilvl="0" w:tplc="9F367EE6">
      <w:start w:val="1"/>
      <w:numFmt w:val="bullet"/>
      <w:lvlRestart w:val="0"/>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2E6774B"/>
    <w:multiLevelType w:val="hybridMultilevel"/>
    <w:tmpl w:val="1EE2239A"/>
    <w:lvl w:ilvl="0" w:tplc="5EA0AD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63051D"/>
    <w:multiLevelType w:val="hybridMultilevel"/>
    <w:tmpl w:val="95A8CD5C"/>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5F5B63A8"/>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3CF566F"/>
    <w:multiLevelType w:val="hybridMultilevel"/>
    <w:tmpl w:val="3350EC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48335CF"/>
    <w:multiLevelType w:val="hybridMultilevel"/>
    <w:tmpl w:val="1F3A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B43A1A"/>
    <w:multiLevelType w:val="hybridMultilevel"/>
    <w:tmpl w:val="7DD4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C4C660A"/>
    <w:multiLevelType w:val="multilevel"/>
    <w:tmpl w:val="1512D6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1D24DD1"/>
    <w:multiLevelType w:val="hybridMultilevel"/>
    <w:tmpl w:val="390E2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C70CD"/>
    <w:multiLevelType w:val="hybridMultilevel"/>
    <w:tmpl w:val="6A5C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3764D5"/>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20"/>
  </w:num>
  <w:num w:numId="3">
    <w:abstractNumId w:val="13"/>
  </w:num>
  <w:num w:numId="4">
    <w:abstractNumId w:val="8"/>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7"/>
  </w:num>
  <w:num w:numId="9">
    <w:abstractNumId w:val="7"/>
  </w:num>
  <w:num w:numId="10">
    <w:abstractNumId w:val="19"/>
  </w:num>
  <w:num w:numId="11">
    <w:abstractNumId w:val="12"/>
  </w:num>
  <w:num w:numId="12">
    <w:abstractNumId w:val="3"/>
  </w:num>
  <w:num w:numId="13">
    <w:abstractNumId w:val="9"/>
  </w:num>
  <w:num w:numId="14">
    <w:abstractNumId w:val="0"/>
  </w:num>
  <w:num w:numId="15">
    <w:abstractNumId w:val="16"/>
  </w:num>
  <w:num w:numId="16">
    <w:abstractNumId w:val="2"/>
  </w:num>
  <w:num w:numId="17">
    <w:abstractNumId w:val="18"/>
  </w:num>
  <w:num w:numId="18">
    <w:abstractNumId w:val="11"/>
  </w:num>
  <w:num w:numId="19">
    <w:abstractNumId w:val="15"/>
  </w:num>
  <w:num w:numId="20">
    <w:abstractNumId w:val="14"/>
  </w:num>
  <w:num w:numId="21">
    <w:abstractNumId w:val="10"/>
  </w:num>
  <w:num w:numId="22">
    <w:abstractNumId w:val="6"/>
  </w:num>
  <w:num w:numId="23">
    <w:abstractNumId w:val="6"/>
  </w:num>
  <w:num w:numId="24">
    <w:abstractNumId w:val="6"/>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478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ddedNumberingSchemes" w:val="&lt;?xml version=&quot;1.0&quot; encoding=&quot;utf-16&quot;?&gt;&lt;ArrayOfAddedNumberingScheme xmlns:xsi=&quot;http://www.w3.org/2001/XMLSchema-instance&quot; xmlns:xsd=&quot;http://www.w3.org/2001/XMLSchema&quot;&gt;&lt;AddedNumberingScheme&gt;&lt;SelectedNumberingScheme&gt;&lt;LastUpdatedBy&gt;MichelleGuyot&lt;/LastUpdatedBy&gt;&lt;LastUpdated&gt;2015-05-14T15:44:09&lt;/LastUpdated&gt;&lt;NumberingSchemeID&gt;159&lt;/NumberingSchemeID&gt;&lt;SortOrder&gt;0&lt;/SortOrder&gt;&lt;Name&gt;Pleading Headings&lt;/Name&gt;&lt;NameFrench&gt;Titre des procédures&lt;/NameFrench&gt;&lt;Description&gt;Numbering scheme for use in Pleadings documents. Levels 1 and 2 are bold; all levels are underlined and followed by body text.&lt;/Description&gt;&lt;DescriptionFrench&gt;Modification du niveau 7 du schéma de numérotation Titres de procédure.&lt;/DescriptionFrench&gt;&lt;FilterID&gt;4&lt;/FilterID&gt;&lt;DefaultNumberOfLevelsInTOC&gt;3&lt;/DefaultNumberOfLevelsInTOC&gt;&lt;CustomTOCAttached&gt;false&lt;/CustomTOCAttached&gt;&lt;DefaultTOCSchemeID&gt;0&lt;/DefaultTOCSchemeID&gt;&lt;BitMapID&gt;528&lt;/BitMapID&gt;&lt;Hidden&gt;false&lt;/Hidden&gt;&lt;ListIndexUsed&gt;0&lt;/ListIndexUsed&gt;&lt;CapturedDocument&gt;\\pcgserver\pcg_dev\Vinson &amp;amp; Elkins\Specification Documents\VESpecifications\Payne\Numbering Assistant\NA Schemes\RE Lease Exhibit Heading.docx&lt;/CapturedDocument&gt;&lt;CreatedByEndUser&gt;false&lt;/CreatedByEndUser&gt;&lt;ConnectionType&gt;Application&lt;/ConnectionType&gt;&lt;EnforceSchemeFont&gt;false&lt;/EnforceSchemeFont&gt;&lt;/SelectedNumberingScheme&gt;&lt;SelectedSchemeFilter&gt;&lt;LastUpdated&gt;0001-01-01T00:00:00&lt;/LastUpdated&gt;&lt;FilterID&gt;3&lt;/FilterID&gt;&lt;FilterName&gt;All Numbering Schemes&lt;/FilterName&gt;&lt;FilterNameFrench&gt;Tous les schémas de numérotation&lt;/FilterNameFrench&gt;&lt;UserDatabaseOnly&gt;false&lt;/UserDatabaseOnly&gt;&lt;Default&gt;true&lt;/Default&gt;&lt;SortPosition&gt;3&lt;/SortPosition&gt;&lt;/SelectedSchemeFilter&gt;&lt;SelectedNumberingSchemeOptions /&gt;&lt;Index&gt;1&lt;/Index&gt;&lt;/AddedNumberingScheme&gt;&lt;/ArrayOfAddedNumberingScheme&gt;"/>
    <w:docVar w:name="AddLineBreakFollowingCenteredHeading 1" w:val="True"/>
    <w:docVar w:name="AddLineBreakFollowingCenteredHeading 1LineBreakCheckDone" w:val="True"/>
    <w:docVar w:name="AddLineBreakFollowingCenteredHeadings" w:val="True"/>
    <w:docVar w:name="CenterLevel1TOC" w:val="False"/>
    <w:docVar w:name="DefaultNumberOfLevelsInTOCForThisScheme" w:val="3"/>
    <w:docVar w:name="DocIDAuthor" w:val="False"/>
    <w:docVar w:name="DocIDClientMatter" w:val="False"/>
    <w:docVar w:name="DocIDDate" w:val="False"/>
    <w:docVar w:name="DocIDDateText" w:val="False"/>
    <w:docVar w:name="DocIDLibrary" w:val="True"/>
    <w:docVar w:name="DocIDType" w:val="AllPages"/>
    <w:docVar w:name="DocIDTypist" w:val="False"/>
    <w:docVar w:name="EnforceSchemeFont" w:val="False"/>
    <w:docVar w:name="ExcludeDirectFormattingInTOC1" w:val="True"/>
    <w:docVar w:name="IncludeTOCAndPageHeadings" w:val="False"/>
    <w:docVar w:name="LastSchemeChoice" w:val="Pleading Headings"/>
    <w:docVar w:name="LastSchemeUniqueID" w:val="159"/>
    <w:docVar w:name="LegacyDocIDRemoved" w:val="True"/>
    <w:docVar w:name="LegacyNa" w:val="False"/>
    <w:docVar w:name="NoNumberLevel1TOC" w:val="False"/>
    <w:docVar w:name="SWDocIDLayout" w:val="41"/>
    <w:docVar w:name="SWDocIDLocation" w:val="0"/>
    <w:docVar w:name="TOCFormatConst" w:val="0"/>
    <w:docVar w:name="TOCFormatPreference" w:val="Leave TOC styles 'as is' in current document (default)"/>
    <w:docVar w:name="TOCHeadingAllCaps" w:val="False"/>
    <w:docVar w:name="TOCHeadingUnderlined" w:val="False"/>
    <w:docVar w:name="TOCIncludeNonHeadings" w:val="False"/>
    <w:docVar w:name="TOCIncludeSectionBreaks1" w:val="False"/>
    <w:docVar w:name="TOCPageUnderlined" w:val="False"/>
    <w:docVar w:name="TOCPosition" w:val="3"/>
    <w:docVar w:name="TOCRestartPageNumbering1" w:val="True"/>
    <w:docVar w:name="TOCRun" w:val="True"/>
    <w:docVar w:name="TOCSelectedNumberFormat1" w:val="Roman"/>
    <w:docVar w:name="TOCSpecialLevels1" w:val="False"/>
    <w:docVar w:name="UnderlineTOCLevel1" w:val="False"/>
    <w:docVar w:name="UpperLevelTOC" w:val="3"/>
  </w:docVars>
  <w:rsids>
    <w:rsidRoot w:val="00D24F2D"/>
    <w:rsid w:val="00001693"/>
    <w:rsid w:val="0000325B"/>
    <w:rsid w:val="000052E9"/>
    <w:rsid w:val="000054BA"/>
    <w:rsid w:val="000111E9"/>
    <w:rsid w:val="00021B15"/>
    <w:rsid w:val="00021BAD"/>
    <w:rsid w:val="00022067"/>
    <w:rsid w:val="00024461"/>
    <w:rsid w:val="000258C4"/>
    <w:rsid w:val="000264C7"/>
    <w:rsid w:val="00032C07"/>
    <w:rsid w:val="00041977"/>
    <w:rsid w:val="00047621"/>
    <w:rsid w:val="0004778D"/>
    <w:rsid w:val="00050685"/>
    <w:rsid w:val="00054EF3"/>
    <w:rsid w:val="00055170"/>
    <w:rsid w:val="00056373"/>
    <w:rsid w:val="000574D6"/>
    <w:rsid w:val="00060E35"/>
    <w:rsid w:val="00062B24"/>
    <w:rsid w:val="00063282"/>
    <w:rsid w:val="0006494C"/>
    <w:rsid w:val="000651A6"/>
    <w:rsid w:val="00065622"/>
    <w:rsid w:val="00065959"/>
    <w:rsid w:val="00065D3C"/>
    <w:rsid w:val="00066647"/>
    <w:rsid w:val="00070331"/>
    <w:rsid w:val="00070343"/>
    <w:rsid w:val="00070632"/>
    <w:rsid w:val="000727B0"/>
    <w:rsid w:val="0007504B"/>
    <w:rsid w:val="000754C3"/>
    <w:rsid w:val="00075EF9"/>
    <w:rsid w:val="00075FE0"/>
    <w:rsid w:val="00083B08"/>
    <w:rsid w:val="00084327"/>
    <w:rsid w:val="00086BD9"/>
    <w:rsid w:val="00090ECB"/>
    <w:rsid w:val="000919EA"/>
    <w:rsid w:val="000A1294"/>
    <w:rsid w:val="000B0EFE"/>
    <w:rsid w:val="000B110E"/>
    <w:rsid w:val="000B715A"/>
    <w:rsid w:val="000C170B"/>
    <w:rsid w:val="000C1B1B"/>
    <w:rsid w:val="000C227C"/>
    <w:rsid w:val="000C5C3C"/>
    <w:rsid w:val="000D3D39"/>
    <w:rsid w:val="000D7689"/>
    <w:rsid w:val="000E14E9"/>
    <w:rsid w:val="000E29FF"/>
    <w:rsid w:val="000E4CEA"/>
    <w:rsid w:val="000F2C78"/>
    <w:rsid w:val="000F629F"/>
    <w:rsid w:val="000F6999"/>
    <w:rsid w:val="00100031"/>
    <w:rsid w:val="00107CD8"/>
    <w:rsid w:val="0011443C"/>
    <w:rsid w:val="00115CFA"/>
    <w:rsid w:val="00120D4E"/>
    <w:rsid w:val="001226E0"/>
    <w:rsid w:val="00123EE3"/>
    <w:rsid w:val="001304A1"/>
    <w:rsid w:val="00130D16"/>
    <w:rsid w:val="00130E52"/>
    <w:rsid w:val="001328D4"/>
    <w:rsid w:val="00132B06"/>
    <w:rsid w:val="00134E08"/>
    <w:rsid w:val="00135171"/>
    <w:rsid w:val="001373CE"/>
    <w:rsid w:val="0013750A"/>
    <w:rsid w:val="0014203B"/>
    <w:rsid w:val="001443BC"/>
    <w:rsid w:val="0014515A"/>
    <w:rsid w:val="00146519"/>
    <w:rsid w:val="00151C3E"/>
    <w:rsid w:val="001522AE"/>
    <w:rsid w:val="00152450"/>
    <w:rsid w:val="00154423"/>
    <w:rsid w:val="001551A9"/>
    <w:rsid w:val="00160F17"/>
    <w:rsid w:val="00161DCE"/>
    <w:rsid w:val="00163039"/>
    <w:rsid w:val="00164868"/>
    <w:rsid w:val="001800CE"/>
    <w:rsid w:val="00184AF7"/>
    <w:rsid w:val="00185119"/>
    <w:rsid w:val="00193F23"/>
    <w:rsid w:val="00196DB3"/>
    <w:rsid w:val="00197F86"/>
    <w:rsid w:val="001A280F"/>
    <w:rsid w:val="001A29F5"/>
    <w:rsid w:val="001A499B"/>
    <w:rsid w:val="001A5C1A"/>
    <w:rsid w:val="001A5F74"/>
    <w:rsid w:val="001A7844"/>
    <w:rsid w:val="001B131F"/>
    <w:rsid w:val="001B52AC"/>
    <w:rsid w:val="001B5540"/>
    <w:rsid w:val="001B7ECD"/>
    <w:rsid w:val="001C1EFD"/>
    <w:rsid w:val="001C2E2C"/>
    <w:rsid w:val="001C43AC"/>
    <w:rsid w:val="001D2C38"/>
    <w:rsid w:val="001D4CA3"/>
    <w:rsid w:val="001D505F"/>
    <w:rsid w:val="001D5473"/>
    <w:rsid w:val="001D7E1D"/>
    <w:rsid w:val="001E3918"/>
    <w:rsid w:val="001E44B8"/>
    <w:rsid w:val="001E4A45"/>
    <w:rsid w:val="001E4E46"/>
    <w:rsid w:val="001E62ED"/>
    <w:rsid w:val="001F099C"/>
    <w:rsid w:val="001F3073"/>
    <w:rsid w:val="001F3171"/>
    <w:rsid w:val="001F6A5D"/>
    <w:rsid w:val="001F74C9"/>
    <w:rsid w:val="00201A56"/>
    <w:rsid w:val="0020276F"/>
    <w:rsid w:val="0020325C"/>
    <w:rsid w:val="00204C20"/>
    <w:rsid w:val="002144A0"/>
    <w:rsid w:val="00214D85"/>
    <w:rsid w:val="00215218"/>
    <w:rsid w:val="0021654F"/>
    <w:rsid w:val="002175D3"/>
    <w:rsid w:val="00220EE1"/>
    <w:rsid w:val="002218BD"/>
    <w:rsid w:val="0022426F"/>
    <w:rsid w:val="00227626"/>
    <w:rsid w:val="00232373"/>
    <w:rsid w:val="00235AB4"/>
    <w:rsid w:val="00237DD3"/>
    <w:rsid w:val="00242643"/>
    <w:rsid w:val="00243578"/>
    <w:rsid w:val="00243BDA"/>
    <w:rsid w:val="00245883"/>
    <w:rsid w:val="00247A2D"/>
    <w:rsid w:val="00251F12"/>
    <w:rsid w:val="00252824"/>
    <w:rsid w:val="002551F7"/>
    <w:rsid w:val="002618FC"/>
    <w:rsid w:val="00265052"/>
    <w:rsid w:val="00266AA8"/>
    <w:rsid w:val="002670B7"/>
    <w:rsid w:val="0026799B"/>
    <w:rsid w:val="0027084A"/>
    <w:rsid w:val="002731FD"/>
    <w:rsid w:val="00274D38"/>
    <w:rsid w:val="00277799"/>
    <w:rsid w:val="00277FBF"/>
    <w:rsid w:val="00280E81"/>
    <w:rsid w:val="00283975"/>
    <w:rsid w:val="00283BDE"/>
    <w:rsid w:val="00283C1D"/>
    <w:rsid w:val="00283EC7"/>
    <w:rsid w:val="002866C2"/>
    <w:rsid w:val="00286E47"/>
    <w:rsid w:val="002875ED"/>
    <w:rsid w:val="0028769A"/>
    <w:rsid w:val="002904AC"/>
    <w:rsid w:val="00291D8C"/>
    <w:rsid w:val="00294A71"/>
    <w:rsid w:val="0029680E"/>
    <w:rsid w:val="00297078"/>
    <w:rsid w:val="002A0C94"/>
    <w:rsid w:val="002A31A0"/>
    <w:rsid w:val="002A5CA2"/>
    <w:rsid w:val="002A65FD"/>
    <w:rsid w:val="002B0837"/>
    <w:rsid w:val="002B22AF"/>
    <w:rsid w:val="002B5F3F"/>
    <w:rsid w:val="002B76CC"/>
    <w:rsid w:val="002C0A50"/>
    <w:rsid w:val="002C4A1F"/>
    <w:rsid w:val="002C6320"/>
    <w:rsid w:val="002C7F86"/>
    <w:rsid w:val="002D00F5"/>
    <w:rsid w:val="002D014C"/>
    <w:rsid w:val="002D15C7"/>
    <w:rsid w:val="002D19C0"/>
    <w:rsid w:val="002D219E"/>
    <w:rsid w:val="002D22BE"/>
    <w:rsid w:val="002D2E27"/>
    <w:rsid w:val="002D42C5"/>
    <w:rsid w:val="002D769C"/>
    <w:rsid w:val="002E012F"/>
    <w:rsid w:val="002E26E8"/>
    <w:rsid w:val="002E33F4"/>
    <w:rsid w:val="002E5F18"/>
    <w:rsid w:val="002E7267"/>
    <w:rsid w:val="002E7EA0"/>
    <w:rsid w:val="002F0FA6"/>
    <w:rsid w:val="002F2BAB"/>
    <w:rsid w:val="002F35FB"/>
    <w:rsid w:val="002F4CB3"/>
    <w:rsid w:val="002F4EB0"/>
    <w:rsid w:val="002F66F9"/>
    <w:rsid w:val="002F69C0"/>
    <w:rsid w:val="00306562"/>
    <w:rsid w:val="003073CD"/>
    <w:rsid w:val="003141C1"/>
    <w:rsid w:val="00314203"/>
    <w:rsid w:val="00314813"/>
    <w:rsid w:val="00315AB7"/>
    <w:rsid w:val="003178E5"/>
    <w:rsid w:val="0032060C"/>
    <w:rsid w:val="00320620"/>
    <w:rsid w:val="003224F4"/>
    <w:rsid w:val="00323A11"/>
    <w:rsid w:val="00324466"/>
    <w:rsid w:val="00326FB1"/>
    <w:rsid w:val="003272C1"/>
    <w:rsid w:val="00327416"/>
    <w:rsid w:val="00330F95"/>
    <w:rsid w:val="0033250D"/>
    <w:rsid w:val="00333BD5"/>
    <w:rsid w:val="0033519B"/>
    <w:rsid w:val="003354D0"/>
    <w:rsid w:val="003356CE"/>
    <w:rsid w:val="00335CB1"/>
    <w:rsid w:val="0033652A"/>
    <w:rsid w:val="00337E7D"/>
    <w:rsid w:val="0034212C"/>
    <w:rsid w:val="0034318B"/>
    <w:rsid w:val="00343749"/>
    <w:rsid w:val="00344955"/>
    <w:rsid w:val="00350BCE"/>
    <w:rsid w:val="00351BA2"/>
    <w:rsid w:val="0035387F"/>
    <w:rsid w:val="003549CA"/>
    <w:rsid w:val="0036006D"/>
    <w:rsid w:val="00360FBC"/>
    <w:rsid w:val="0036422D"/>
    <w:rsid w:val="0036660D"/>
    <w:rsid w:val="00366EED"/>
    <w:rsid w:val="00370D68"/>
    <w:rsid w:val="00374B34"/>
    <w:rsid w:val="00375741"/>
    <w:rsid w:val="00377B19"/>
    <w:rsid w:val="00380BAC"/>
    <w:rsid w:val="0038156B"/>
    <w:rsid w:val="003815BE"/>
    <w:rsid w:val="003843E5"/>
    <w:rsid w:val="0038489A"/>
    <w:rsid w:val="00386A9B"/>
    <w:rsid w:val="00387063"/>
    <w:rsid w:val="00390E64"/>
    <w:rsid w:val="00393CC2"/>
    <w:rsid w:val="003A222A"/>
    <w:rsid w:val="003A24A6"/>
    <w:rsid w:val="003B017A"/>
    <w:rsid w:val="003B1EAD"/>
    <w:rsid w:val="003B6321"/>
    <w:rsid w:val="003B6B73"/>
    <w:rsid w:val="003C1027"/>
    <w:rsid w:val="003C16CD"/>
    <w:rsid w:val="003C1CF5"/>
    <w:rsid w:val="003C3895"/>
    <w:rsid w:val="003C7492"/>
    <w:rsid w:val="003D0ABB"/>
    <w:rsid w:val="003D0FB9"/>
    <w:rsid w:val="003D10F8"/>
    <w:rsid w:val="003D3FDB"/>
    <w:rsid w:val="003D4FF9"/>
    <w:rsid w:val="003D503D"/>
    <w:rsid w:val="003D6F35"/>
    <w:rsid w:val="003E4A0E"/>
    <w:rsid w:val="003E54E5"/>
    <w:rsid w:val="003E5DBD"/>
    <w:rsid w:val="003E6398"/>
    <w:rsid w:val="003E743A"/>
    <w:rsid w:val="003E7A9B"/>
    <w:rsid w:val="003E7F5D"/>
    <w:rsid w:val="003F1FF2"/>
    <w:rsid w:val="003F3A39"/>
    <w:rsid w:val="003F765D"/>
    <w:rsid w:val="00401913"/>
    <w:rsid w:val="00402BB2"/>
    <w:rsid w:val="00402FA8"/>
    <w:rsid w:val="0040685E"/>
    <w:rsid w:val="00406F1D"/>
    <w:rsid w:val="00413956"/>
    <w:rsid w:val="00413CC0"/>
    <w:rsid w:val="00416F24"/>
    <w:rsid w:val="004205EE"/>
    <w:rsid w:val="00422E59"/>
    <w:rsid w:val="00425B72"/>
    <w:rsid w:val="00426B2A"/>
    <w:rsid w:val="00427ABD"/>
    <w:rsid w:val="00430A5E"/>
    <w:rsid w:val="00430DD9"/>
    <w:rsid w:val="00442128"/>
    <w:rsid w:val="00446F2A"/>
    <w:rsid w:val="00447142"/>
    <w:rsid w:val="004471B5"/>
    <w:rsid w:val="00447827"/>
    <w:rsid w:val="00447EC9"/>
    <w:rsid w:val="00452997"/>
    <w:rsid w:val="00457BE6"/>
    <w:rsid w:val="00460323"/>
    <w:rsid w:val="004608FB"/>
    <w:rsid w:val="00462D00"/>
    <w:rsid w:val="00463236"/>
    <w:rsid w:val="00463BE1"/>
    <w:rsid w:val="00464BA2"/>
    <w:rsid w:val="00465B73"/>
    <w:rsid w:val="004664B0"/>
    <w:rsid w:val="00466548"/>
    <w:rsid w:val="00467888"/>
    <w:rsid w:val="004706B7"/>
    <w:rsid w:val="004716D6"/>
    <w:rsid w:val="004753B2"/>
    <w:rsid w:val="00476413"/>
    <w:rsid w:val="00490609"/>
    <w:rsid w:val="004928BC"/>
    <w:rsid w:val="004932CF"/>
    <w:rsid w:val="00493C74"/>
    <w:rsid w:val="00494156"/>
    <w:rsid w:val="0049422F"/>
    <w:rsid w:val="00494877"/>
    <w:rsid w:val="004A0FCF"/>
    <w:rsid w:val="004A1E8D"/>
    <w:rsid w:val="004A3384"/>
    <w:rsid w:val="004A4AE8"/>
    <w:rsid w:val="004A5B0D"/>
    <w:rsid w:val="004A5E01"/>
    <w:rsid w:val="004B1658"/>
    <w:rsid w:val="004B1FE9"/>
    <w:rsid w:val="004B542F"/>
    <w:rsid w:val="004B7607"/>
    <w:rsid w:val="004C0D94"/>
    <w:rsid w:val="004C2A91"/>
    <w:rsid w:val="004C4824"/>
    <w:rsid w:val="004C4A86"/>
    <w:rsid w:val="004C4DD2"/>
    <w:rsid w:val="004C69D3"/>
    <w:rsid w:val="004C7E3B"/>
    <w:rsid w:val="004D310E"/>
    <w:rsid w:val="004D3598"/>
    <w:rsid w:val="004D3844"/>
    <w:rsid w:val="004D6214"/>
    <w:rsid w:val="004D638B"/>
    <w:rsid w:val="004D721E"/>
    <w:rsid w:val="004D7323"/>
    <w:rsid w:val="004E480C"/>
    <w:rsid w:val="004E5A4E"/>
    <w:rsid w:val="004F1A73"/>
    <w:rsid w:val="004F1BD3"/>
    <w:rsid w:val="004F4D45"/>
    <w:rsid w:val="004F6F6C"/>
    <w:rsid w:val="004F7171"/>
    <w:rsid w:val="004F7642"/>
    <w:rsid w:val="004F7A78"/>
    <w:rsid w:val="00500DB2"/>
    <w:rsid w:val="00500E97"/>
    <w:rsid w:val="00502471"/>
    <w:rsid w:val="00507198"/>
    <w:rsid w:val="00507ABD"/>
    <w:rsid w:val="00515284"/>
    <w:rsid w:val="00515CEF"/>
    <w:rsid w:val="00521600"/>
    <w:rsid w:val="00524BC4"/>
    <w:rsid w:val="00526B20"/>
    <w:rsid w:val="00526B52"/>
    <w:rsid w:val="00532757"/>
    <w:rsid w:val="00532E6B"/>
    <w:rsid w:val="0053335D"/>
    <w:rsid w:val="00533708"/>
    <w:rsid w:val="00537D42"/>
    <w:rsid w:val="005433CD"/>
    <w:rsid w:val="00543CF7"/>
    <w:rsid w:val="00545355"/>
    <w:rsid w:val="00545FC2"/>
    <w:rsid w:val="00551638"/>
    <w:rsid w:val="00552029"/>
    <w:rsid w:val="00556E96"/>
    <w:rsid w:val="00561981"/>
    <w:rsid w:val="005643AF"/>
    <w:rsid w:val="005658C6"/>
    <w:rsid w:val="00565A18"/>
    <w:rsid w:val="005735F7"/>
    <w:rsid w:val="00574865"/>
    <w:rsid w:val="00574C86"/>
    <w:rsid w:val="005773EF"/>
    <w:rsid w:val="005801A1"/>
    <w:rsid w:val="00580E51"/>
    <w:rsid w:val="00581549"/>
    <w:rsid w:val="005828C2"/>
    <w:rsid w:val="00585EBF"/>
    <w:rsid w:val="005864C8"/>
    <w:rsid w:val="005A063B"/>
    <w:rsid w:val="005A0708"/>
    <w:rsid w:val="005A16AB"/>
    <w:rsid w:val="005A48E5"/>
    <w:rsid w:val="005A4915"/>
    <w:rsid w:val="005A6299"/>
    <w:rsid w:val="005A731C"/>
    <w:rsid w:val="005B4950"/>
    <w:rsid w:val="005B515C"/>
    <w:rsid w:val="005B5550"/>
    <w:rsid w:val="005B5711"/>
    <w:rsid w:val="005B59E5"/>
    <w:rsid w:val="005C2E61"/>
    <w:rsid w:val="005D072C"/>
    <w:rsid w:val="005D085E"/>
    <w:rsid w:val="005D0AC0"/>
    <w:rsid w:val="005D1554"/>
    <w:rsid w:val="005D2AFF"/>
    <w:rsid w:val="005D396C"/>
    <w:rsid w:val="005D5B67"/>
    <w:rsid w:val="005D65D7"/>
    <w:rsid w:val="005D6EC9"/>
    <w:rsid w:val="005D7A55"/>
    <w:rsid w:val="005D7E6A"/>
    <w:rsid w:val="005E2EB6"/>
    <w:rsid w:val="005F051B"/>
    <w:rsid w:val="005F1065"/>
    <w:rsid w:val="005F3448"/>
    <w:rsid w:val="005F6773"/>
    <w:rsid w:val="00601C77"/>
    <w:rsid w:val="0060360D"/>
    <w:rsid w:val="006067FB"/>
    <w:rsid w:val="00611155"/>
    <w:rsid w:val="00614774"/>
    <w:rsid w:val="0062068F"/>
    <w:rsid w:val="00622A14"/>
    <w:rsid w:val="00623970"/>
    <w:rsid w:val="00624BB4"/>
    <w:rsid w:val="00632F75"/>
    <w:rsid w:val="006335C4"/>
    <w:rsid w:val="00633707"/>
    <w:rsid w:val="00633763"/>
    <w:rsid w:val="00634471"/>
    <w:rsid w:val="006350FA"/>
    <w:rsid w:val="006372FC"/>
    <w:rsid w:val="006411F5"/>
    <w:rsid w:val="00641820"/>
    <w:rsid w:val="006424BF"/>
    <w:rsid w:val="00644570"/>
    <w:rsid w:val="00644906"/>
    <w:rsid w:val="00644B5B"/>
    <w:rsid w:val="0064548A"/>
    <w:rsid w:val="00645E94"/>
    <w:rsid w:val="006471AB"/>
    <w:rsid w:val="00647C71"/>
    <w:rsid w:val="00652254"/>
    <w:rsid w:val="0065438F"/>
    <w:rsid w:val="0065466D"/>
    <w:rsid w:val="006548C1"/>
    <w:rsid w:val="006554BE"/>
    <w:rsid w:val="00656B46"/>
    <w:rsid w:val="00664D9A"/>
    <w:rsid w:val="006737C6"/>
    <w:rsid w:val="00674755"/>
    <w:rsid w:val="0067596C"/>
    <w:rsid w:val="00677B20"/>
    <w:rsid w:val="00677F41"/>
    <w:rsid w:val="00680187"/>
    <w:rsid w:val="006904ED"/>
    <w:rsid w:val="00690EC6"/>
    <w:rsid w:val="0069125D"/>
    <w:rsid w:val="0069339D"/>
    <w:rsid w:val="00694039"/>
    <w:rsid w:val="006949C2"/>
    <w:rsid w:val="00695554"/>
    <w:rsid w:val="0069665E"/>
    <w:rsid w:val="00696B67"/>
    <w:rsid w:val="006A11C5"/>
    <w:rsid w:val="006A1943"/>
    <w:rsid w:val="006A30E0"/>
    <w:rsid w:val="006A3627"/>
    <w:rsid w:val="006A6BBA"/>
    <w:rsid w:val="006B77D9"/>
    <w:rsid w:val="006C3080"/>
    <w:rsid w:val="006C3DC6"/>
    <w:rsid w:val="006C42CE"/>
    <w:rsid w:val="006D01B8"/>
    <w:rsid w:val="006D089D"/>
    <w:rsid w:val="006D2278"/>
    <w:rsid w:val="006D2DF5"/>
    <w:rsid w:val="006D7288"/>
    <w:rsid w:val="006E008E"/>
    <w:rsid w:val="006E0B90"/>
    <w:rsid w:val="006E15FA"/>
    <w:rsid w:val="006E3BCD"/>
    <w:rsid w:val="006E479A"/>
    <w:rsid w:val="006E4F22"/>
    <w:rsid w:val="006E7387"/>
    <w:rsid w:val="006F1957"/>
    <w:rsid w:val="006F1F0C"/>
    <w:rsid w:val="006F261E"/>
    <w:rsid w:val="00700175"/>
    <w:rsid w:val="007012AB"/>
    <w:rsid w:val="007058A9"/>
    <w:rsid w:val="00706665"/>
    <w:rsid w:val="00710B76"/>
    <w:rsid w:val="007130D0"/>
    <w:rsid w:val="0071503E"/>
    <w:rsid w:val="007150AE"/>
    <w:rsid w:val="00720B6D"/>
    <w:rsid w:val="00727C43"/>
    <w:rsid w:val="00732069"/>
    <w:rsid w:val="00732289"/>
    <w:rsid w:val="007357F7"/>
    <w:rsid w:val="007367DC"/>
    <w:rsid w:val="00741B76"/>
    <w:rsid w:val="00743352"/>
    <w:rsid w:val="007470C3"/>
    <w:rsid w:val="00754414"/>
    <w:rsid w:val="00755422"/>
    <w:rsid w:val="00755ADA"/>
    <w:rsid w:val="007566EB"/>
    <w:rsid w:val="00756C21"/>
    <w:rsid w:val="00761130"/>
    <w:rsid w:val="007617C1"/>
    <w:rsid w:val="007637C9"/>
    <w:rsid w:val="00764079"/>
    <w:rsid w:val="0076466A"/>
    <w:rsid w:val="00765D85"/>
    <w:rsid w:val="00766920"/>
    <w:rsid w:val="00772264"/>
    <w:rsid w:val="00775AA8"/>
    <w:rsid w:val="007765D9"/>
    <w:rsid w:val="00776D1B"/>
    <w:rsid w:val="007800A6"/>
    <w:rsid w:val="00780D3C"/>
    <w:rsid w:val="00781D8C"/>
    <w:rsid w:val="007820BC"/>
    <w:rsid w:val="0078221E"/>
    <w:rsid w:val="007870EE"/>
    <w:rsid w:val="00792327"/>
    <w:rsid w:val="00793162"/>
    <w:rsid w:val="0079389E"/>
    <w:rsid w:val="007959E0"/>
    <w:rsid w:val="007A223A"/>
    <w:rsid w:val="007A4B33"/>
    <w:rsid w:val="007A4DDF"/>
    <w:rsid w:val="007A6559"/>
    <w:rsid w:val="007A7150"/>
    <w:rsid w:val="007B0590"/>
    <w:rsid w:val="007B23C3"/>
    <w:rsid w:val="007B31CC"/>
    <w:rsid w:val="007B3E3C"/>
    <w:rsid w:val="007B4628"/>
    <w:rsid w:val="007B4E75"/>
    <w:rsid w:val="007B6EDB"/>
    <w:rsid w:val="007C5480"/>
    <w:rsid w:val="007C590A"/>
    <w:rsid w:val="007D1391"/>
    <w:rsid w:val="007D35A5"/>
    <w:rsid w:val="007D44D8"/>
    <w:rsid w:val="007D7F3C"/>
    <w:rsid w:val="007E755F"/>
    <w:rsid w:val="007E7B19"/>
    <w:rsid w:val="007E7EC1"/>
    <w:rsid w:val="007F01F3"/>
    <w:rsid w:val="007F39B6"/>
    <w:rsid w:val="007F45D1"/>
    <w:rsid w:val="007F64CD"/>
    <w:rsid w:val="007F7BAE"/>
    <w:rsid w:val="0080028F"/>
    <w:rsid w:val="008057DF"/>
    <w:rsid w:val="00806070"/>
    <w:rsid w:val="00816479"/>
    <w:rsid w:val="0081727E"/>
    <w:rsid w:val="00817D15"/>
    <w:rsid w:val="00817DDC"/>
    <w:rsid w:val="008218D2"/>
    <w:rsid w:val="00822820"/>
    <w:rsid w:val="00823FC8"/>
    <w:rsid w:val="00824516"/>
    <w:rsid w:val="00824EEA"/>
    <w:rsid w:val="00825FFC"/>
    <w:rsid w:val="00826B07"/>
    <w:rsid w:val="0082700F"/>
    <w:rsid w:val="008313FD"/>
    <w:rsid w:val="00831564"/>
    <w:rsid w:val="00831D51"/>
    <w:rsid w:val="00832B58"/>
    <w:rsid w:val="00834484"/>
    <w:rsid w:val="008355F2"/>
    <w:rsid w:val="00835909"/>
    <w:rsid w:val="008359DC"/>
    <w:rsid w:val="00836CBC"/>
    <w:rsid w:val="00837B2E"/>
    <w:rsid w:val="0085169F"/>
    <w:rsid w:val="00852001"/>
    <w:rsid w:val="008567D1"/>
    <w:rsid w:val="00856BD3"/>
    <w:rsid w:val="00857610"/>
    <w:rsid w:val="008617C7"/>
    <w:rsid w:val="0086332F"/>
    <w:rsid w:val="008636D3"/>
    <w:rsid w:val="008657B8"/>
    <w:rsid w:val="008728F3"/>
    <w:rsid w:val="00872A66"/>
    <w:rsid w:val="00876A7B"/>
    <w:rsid w:val="00877027"/>
    <w:rsid w:val="00880C3A"/>
    <w:rsid w:val="008818B2"/>
    <w:rsid w:val="00881A6E"/>
    <w:rsid w:val="00882AEF"/>
    <w:rsid w:val="00884CE2"/>
    <w:rsid w:val="008860DF"/>
    <w:rsid w:val="0088634B"/>
    <w:rsid w:val="008878A7"/>
    <w:rsid w:val="0089037D"/>
    <w:rsid w:val="00890CF8"/>
    <w:rsid w:val="008917E7"/>
    <w:rsid w:val="00891B83"/>
    <w:rsid w:val="008942EE"/>
    <w:rsid w:val="00896AD8"/>
    <w:rsid w:val="008A0ABC"/>
    <w:rsid w:val="008A0F3D"/>
    <w:rsid w:val="008A21A3"/>
    <w:rsid w:val="008A3EE9"/>
    <w:rsid w:val="008A506F"/>
    <w:rsid w:val="008A528E"/>
    <w:rsid w:val="008A766D"/>
    <w:rsid w:val="008B608A"/>
    <w:rsid w:val="008B644F"/>
    <w:rsid w:val="008B6E64"/>
    <w:rsid w:val="008B72C4"/>
    <w:rsid w:val="008B7DBE"/>
    <w:rsid w:val="008C1A72"/>
    <w:rsid w:val="008C3B88"/>
    <w:rsid w:val="008C6E93"/>
    <w:rsid w:val="008D387D"/>
    <w:rsid w:val="008D7560"/>
    <w:rsid w:val="008E09BC"/>
    <w:rsid w:val="008E1E96"/>
    <w:rsid w:val="008E28A9"/>
    <w:rsid w:val="008F0065"/>
    <w:rsid w:val="008F5024"/>
    <w:rsid w:val="0090038D"/>
    <w:rsid w:val="00901A67"/>
    <w:rsid w:val="00901E30"/>
    <w:rsid w:val="00903701"/>
    <w:rsid w:val="009044BC"/>
    <w:rsid w:val="009047D6"/>
    <w:rsid w:val="00905311"/>
    <w:rsid w:val="00912805"/>
    <w:rsid w:val="00914A0E"/>
    <w:rsid w:val="00915086"/>
    <w:rsid w:val="00920F98"/>
    <w:rsid w:val="009239E1"/>
    <w:rsid w:val="009254CB"/>
    <w:rsid w:val="00931CDF"/>
    <w:rsid w:val="00931FEE"/>
    <w:rsid w:val="00933625"/>
    <w:rsid w:val="009340CB"/>
    <w:rsid w:val="009372E1"/>
    <w:rsid w:val="009379E3"/>
    <w:rsid w:val="00942DAD"/>
    <w:rsid w:val="009473E2"/>
    <w:rsid w:val="009507A0"/>
    <w:rsid w:val="009525BF"/>
    <w:rsid w:val="00952FF8"/>
    <w:rsid w:val="00954258"/>
    <w:rsid w:val="009551F0"/>
    <w:rsid w:val="009572F3"/>
    <w:rsid w:val="00960FA1"/>
    <w:rsid w:val="0096374F"/>
    <w:rsid w:val="009665B3"/>
    <w:rsid w:val="00972924"/>
    <w:rsid w:val="0097353D"/>
    <w:rsid w:val="00973DCA"/>
    <w:rsid w:val="00974613"/>
    <w:rsid w:val="00975239"/>
    <w:rsid w:val="00976650"/>
    <w:rsid w:val="00980120"/>
    <w:rsid w:val="00984452"/>
    <w:rsid w:val="00985BA9"/>
    <w:rsid w:val="00986420"/>
    <w:rsid w:val="00986E81"/>
    <w:rsid w:val="00987A87"/>
    <w:rsid w:val="009929D9"/>
    <w:rsid w:val="00996913"/>
    <w:rsid w:val="009970E0"/>
    <w:rsid w:val="00997950"/>
    <w:rsid w:val="009A10E3"/>
    <w:rsid w:val="009A30F9"/>
    <w:rsid w:val="009A458E"/>
    <w:rsid w:val="009A6DF0"/>
    <w:rsid w:val="009B04A9"/>
    <w:rsid w:val="009B4830"/>
    <w:rsid w:val="009B6CAD"/>
    <w:rsid w:val="009B7EB7"/>
    <w:rsid w:val="009C5176"/>
    <w:rsid w:val="009C57FF"/>
    <w:rsid w:val="009C6388"/>
    <w:rsid w:val="009C6AA4"/>
    <w:rsid w:val="009D150D"/>
    <w:rsid w:val="009D210F"/>
    <w:rsid w:val="009D290E"/>
    <w:rsid w:val="009D6A10"/>
    <w:rsid w:val="009F0D10"/>
    <w:rsid w:val="009F1C01"/>
    <w:rsid w:val="009F2C1F"/>
    <w:rsid w:val="00A04871"/>
    <w:rsid w:val="00A07B4C"/>
    <w:rsid w:val="00A13DB5"/>
    <w:rsid w:val="00A16CAD"/>
    <w:rsid w:val="00A20480"/>
    <w:rsid w:val="00A27B34"/>
    <w:rsid w:val="00A36D72"/>
    <w:rsid w:val="00A4028B"/>
    <w:rsid w:val="00A41E71"/>
    <w:rsid w:val="00A42588"/>
    <w:rsid w:val="00A45EFF"/>
    <w:rsid w:val="00A4614C"/>
    <w:rsid w:val="00A474B8"/>
    <w:rsid w:val="00A535FE"/>
    <w:rsid w:val="00A549E0"/>
    <w:rsid w:val="00A54BFC"/>
    <w:rsid w:val="00A574F2"/>
    <w:rsid w:val="00A6446B"/>
    <w:rsid w:val="00A65A45"/>
    <w:rsid w:val="00A6699A"/>
    <w:rsid w:val="00A669A9"/>
    <w:rsid w:val="00A75B82"/>
    <w:rsid w:val="00A8012B"/>
    <w:rsid w:val="00A8081B"/>
    <w:rsid w:val="00A92B71"/>
    <w:rsid w:val="00A94855"/>
    <w:rsid w:val="00A973E7"/>
    <w:rsid w:val="00A97792"/>
    <w:rsid w:val="00AA2A56"/>
    <w:rsid w:val="00AA2CA2"/>
    <w:rsid w:val="00AA2D9E"/>
    <w:rsid w:val="00AA7E6E"/>
    <w:rsid w:val="00AB02C1"/>
    <w:rsid w:val="00AB0E73"/>
    <w:rsid w:val="00AB5920"/>
    <w:rsid w:val="00AB6059"/>
    <w:rsid w:val="00AC06C8"/>
    <w:rsid w:val="00AC1F1E"/>
    <w:rsid w:val="00AC1F29"/>
    <w:rsid w:val="00AC4D7C"/>
    <w:rsid w:val="00AC7BE8"/>
    <w:rsid w:val="00AD1A66"/>
    <w:rsid w:val="00AD242E"/>
    <w:rsid w:val="00AD2648"/>
    <w:rsid w:val="00AD3383"/>
    <w:rsid w:val="00AD38CB"/>
    <w:rsid w:val="00AD3DA0"/>
    <w:rsid w:val="00AD491F"/>
    <w:rsid w:val="00AD5BF7"/>
    <w:rsid w:val="00AD6112"/>
    <w:rsid w:val="00AD63C4"/>
    <w:rsid w:val="00AD6BB5"/>
    <w:rsid w:val="00AE274C"/>
    <w:rsid w:val="00AE4A1A"/>
    <w:rsid w:val="00AE767D"/>
    <w:rsid w:val="00AF0737"/>
    <w:rsid w:val="00AF0F85"/>
    <w:rsid w:val="00AF4738"/>
    <w:rsid w:val="00AF4F34"/>
    <w:rsid w:val="00AF582F"/>
    <w:rsid w:val="00AF6F4E"/>
    <w:rsid w:val="00B00188"/>
    <w:rsid w:val="00B03D6C"/>
    <w:rsid w:val="00B041CF"/>
    <w:rsid w:val="00B04395"/>
    <w:rsid w:val="00B063E1"/>
    <w:rsid w:val="00B070FC"/>
    <w:rsid w:val="00B11A7F"/>
    <w:rsid w:val="00B138ED"/>
    <w:rsid w:val="00B1392F"/>
    <w:rsid w:val="00B14310"/>
    <w:rsid w:val="00B1481C"/>
    <w:rsid w:val="00B158FE"/>
    <w:rsid w:val="00B20937"/>
    <w:rsid w:val="00B23C80"/>
    <w:rsid w:val="00B3002D"/>
    <w:rsid w:val="00B316D4"/>
    <w:rsid w:val="00B320D7"/>
    <w:rsid w:val="00B322B2"/>
    <w:rsid w:val="00B3375F"/>
    <w:rsid w:val="00B33BB3"/>
    <w:rsid w:val="00B33FB6"/>
    <w:rsid w:val="00B378EA"/>
    <w:rsid w:val="00B416B8"/>
    <w:rsid w:val="00B439BF"/>
    <w:rsid w:val="00B44C03"/>
    <w:rsid w:val="00B47F7D"/>
    <w:rsid w:val="00B500E6"/>
    <w:rsid w:val="00B5049F"/>
    <w:rsid w:val="00B506B9"/>
    <w:rsid w:val="00B50FDE"/>
    <w:rsid w:val="00B52558"/>
    <w:rsid w:val="00B529D0"/>
    <w:rsid w:val="00B533A2"/>
    <w:rsid w:val="00B56051"/>
    <w:rsid w:val="00B56896"/>
    <w:rsid w:val="00B57320"/>
    <w:rsid w:val="00B64712"/>
    <w:rsid w:val="00B65337"/>
    <w:rsid w:val="00B66EDA"/>
    <w:rsid w:val="00B721AE"/>
    <w:rsid w:val="00B7374F"/>
    <w:rsid w:val="00B802CA"/>
    <w:rsid w:val="00B80DF4"/>
    <w:rsid w:val="00B8614A"/>
    <w:rsid w:val="00B9191B"/>
    <w:rsid w:val="00BA0AC3"/>
    <w:rsid w:val="00BA2077"/>
    <w:rsid w:val="00BA2B3B"/>
    <w:rsid w:val="00BA3ADD"/>
    <w:rsid w:val="00BA4165"/>
    <w:rsid w:val="00BA422F"/>
    <w:rsid w:val="00BA638B"/>
    <w:rsid w:val="00BA63C4"/>
    <w:rsid w:val="00BB18B9"/>
    <w:rsid w:val="00BB21C1"/>
    <w:rsid w:val="00BB4072"/>
    <w:rsid w:val="00BB5AE7"/>
    <w:rsid w:val="00BB794E"/>
    <w:rsid w:val="00BB7DF6"/>
    <w:rsid w:val="00BC1519"/>
    <w:rsid w:val="00BC3504"/>
    <w:rsid w:val="00BC4000"/>
    <w:rsid w:val="00BC4995"/>
    <w:rsid w:val="00BC68A2"/>
    <w:rsid w:val="00BC712B"/>
    <w:rsid w:val="00BD122B"/>
    <w:rsid w:val="00BD2AC6"/>
    <w:rsid w:val="00BD7677"/>
    <w:rsid w:val="00BE286D"/>
    <w:rsid w:val="00BE374E"/>
    <w:rsid w:val="00BE3A17"/>
    <w:rsid w:val="00BE3DF1"/>
    <w:rsid w:val="00BE4AF8"/>
    <w:rsid w:val="00BE5113"/>
    <w:rsid w:val="00BE75E2"/>
    <w:rsid w:val="00BF0EC3"/>
    <w:rsid w:val="00BF3839"/>
    <w:rsid w:val="00BF3886"/>
    <w:rsid w:val="00BF4CA0"/>
    <w:rsid w:val="00BF5F4A"/>
    <w:rsid w:val="00BF62D0"/>
    <w:rsid w:val="00C01199"/>
    <w:rsid w:val="00C02806"/>
    <w:rsid w:val="00C03B12"/>
    <w:rsid w:val="00C04E14"/>
    <w:rsid w:val="00C0501E"/>
    <w:rsid w:val="00C07070"/>
    <w:rsid w:val="00C1012F"/>
    <w:rsid w:val="00C101AE"/>
    <w:rsid w:val="00C11006"/>
    <w:rsid w:val="00C1161E"/>
    <w:rsid w:val="00C11776"/>
    <w:rsid w:val="00C12319"/>
    <w:rsid w:val="00C13EBB"/>
    <w:rsid w:val="00C14582"/>
    <w:rsid w:val="00C161AB"/>
    <w:rsid w:val="00C201D5"/>
    <w:rsid w:val="00C222A3"/>
    <w:rsid w:val="00C22F0C"/>
    <w:rsid w:val="00C23D03"/>
    <w:rsid w:val="00C240A1"/>
    <w:rsid w:val="00C27B29"/>
    <w:rsid w:val="00C3075B"/>
    <w:rsid w:val="00C3093C"/>
    <w:rsid w:val="00C31D1E"/>
    <w:rsid w:val="00C3250F"/>
    <w:rsid w:val="00C37D2A"/>
    <w:rsid w:val="00C37E3F"/>
    <w:rsid w:val="00C40822"/>
    <w:rsid w:val="00C42A21"/>
    <w:rsid w:val="00C4464A"/>
    <w:rsid w:val="00C501CE"/>
    <w:rsid w:val="00C52B7E"/>
    <w:rsid w:val="00C55928"/>
    <w:rsid w:val="00C5736D"/>
    <w:rsid w:val="00C603A2"/>
    <w:rsid w:val="00C6083D"/>
    <w:rsid w:val="00C61B22"/>
    <w:rsid w:val="00C63CDA"/>
    <w:rsid w:val="00C65AB8"/>
    <w:rsid w:val="00C66968"/>
    <w:rsid w:val="00C71FDF"/>
    <w:rsid w:val="00C7612C"/>
    <w:rsid w:val="00C804EA"/>
    <w:rsid w:val="00C81A93"/>
    <w:rsid w:val="00C9076D"/>
    <w:rsid w:val="00C91B87"/>
    <w:rsid w:val="00C93487"/>
    <w:rsid w:val="00C93B79"/>
    <w:rsid w:val="00C95FC0"/>
    <w:rsid w:val="00C96696"/>
    <w:rsid w:val="00CA1C0F"/>
    <w:rsid w:val="00CA24BA"/>
    <w:rsid w:val="00CA3206"/>
    <w:rsid w:val="00CA6F8A"/>
    <w:rsid w:val="00CB04E1"/>
    <w:rsid w:val="00CB1FCE"/>
    <w:rsid w:val="00CB3ABD"/>
    <w:rsid w:val="00CB5D51"/>
    <w:rsid w:val="00CC1941"/>
    <w:rsid w:val="00CC3606"/>
    <w:rsid w:val="00CC6129"/>
    <w:rsid w:val="00CD072C"/>
    <w:rsid w:val="00CD3A51"/>
    <w:rsid w:val="00CE0092"/>
    <w:rsid w:val="00CE0FC9"/>
    <w:rsid w:val="00CE10C0"/>
    <w:rsid w:val="00CE1166"/>
    <w:rsid w:val="00CE1356"/>
    <w:rsid w:val="00CE30FA"/>
    <w:rsid w:val="00CE3D98"/>
    <w:rsid w:val="00CE4D03"/>
    <w:rsid w:val="00CE5FD8"/>
    <w:rsid w:val="00CE7D72"/>
    <w:rsid w:val="00CF257F"/>
    <w:rsid w:val="00CF4C01"/>
    <w:rsid w:val="00CF6EE8"/>
    <w:rsid w:val="00D01DE1"/>
    <w:rsid w:val="00D022EB"/>
    <w:rsid w:val="00D03766"/>
    <w:rsid w:val="00D04015"/>
    <w:rsid w:val="00D0584C"/>
    <w:rsid w:val="00D113DA"/>
    <w:rsid w:val="00D1149F"/>
    <w:rsid w:val="00D13D7C"/>
    <w:rsid w:val="00D14FBB"/>
    <w:rsid w:val="00D15DF9"/>
    <w:rsid w:val="00D17747"/>
    <w:rsid w:val="00D21026"/>
    <w:rsid w:val="00D22309"/>
    <w:rsid w:val="00D227FE"/>
    <w:rsid w:val="00D22A58"/>
    <w:rsid w:val="00D22BC8"/>
    <w:rsid w:val="00D24F2D"/>
    <w:rsid w:val="00D25A5C"/>
    <w:rsid w:val="00D26495"/>
    <w:rsid w:val="00D26F91"/>
    <w:rsid w:val="00D2759F"/>
    <w:rsid w:val="00D303FA"/>
    <w:rsid w:val="00D30471"/>
    <w:rsid w:val="00D32357"/>
    <w:rsid w:val="00D33CD1"/>
    <w:rsid w:val="00D35A22"/>
    <w:rsid w:val="00D3648F"/>
    <w:rsid w:val="00D3694D"/>
    <w:rsid w:val="00D42955"/>
    <w:rsid w:val="00D53914"/>
    <w:rsid w:val="00D55898"/>
    <w:rsid w:val="00D56F1F"/>
    <w:rsid w:val="00D570AF"/>
    <w:rsid w:val="00D57336"/>
    <w:rsid w:val="00D57D40"/>
    <w:rsid w:val="00D702E1"/>
    <w:rsid w:val="00D712BF"/>
    <w:rsid w:val="00D73059"/>
    <w:rsid w:val="00D75065"/>
    <w:rsid w:val="00D81DB4"/>
    <w:rsid w:val="00D8510A"/>
    <w:rsid w:val="00D853ED"/>
    <w:rsid w:val="00D87CA9"/>
    <w:rsid w:val="00D920C5"/>
    <w:rsid w:val="00D9562F"/>
    <w:rsid w:val="00DA1793"/>
    <w:rsid w:val="00DA1E62"/>
    <w:rsid w:val="00DA1F51"/>
    <w:rsid w:val="00DA2629"/>
    <w:rsid w:val="00DA3711"/>
    <w:rsid w:val="00DA40FF"/>
    <w:rsid w:val="00DA502A"/>
    <w:rsid w:val="00DA6599"/>
    <w:rsid w:val="00DB037F"/>
    <w:rsid w:val="00DB64FD"/>
    <w:rsid w:val="00DC10F9"/>
    <w:rsid w:val="00DC1AB1"/>
    <w:rsid w:val="00DC35F2"/>
    <w:rsid w:val="00DD2469"/>
    <w:rsid w:val="00DD42B4"/>
    <w:rsid w:val="00DD4AE0"/>
    <w:rsid w:val="00DD616B"/>
    <w:rsid w:val="00DD669B"/>
    <w:rsid w:val="00DE170E"/>
    <w:rsid w:val="00DE7AD1"/>
    <w:rsid w:val="00DF0A5A"/>
    <w:rsid w:val="00DF3100"/>
    <w:rsid w:val="00DF40B4"/>
    <w:rsid w:val="00DF48AF"/>
    <w:rsid w:val="00DF5D51"/>
    <w:rsid w:val="00DF6277"/>
    <w:rsid w:val="00E00337"/>
    <w:rsid w:val="00E0133E"/>
    <w:rsid w:val="00E02F91"/>
    <w:rsid w:val="00E05298"/>
    <w:rsid w:val="00E06921"/>
    <w:rsid w:val="00E06FA4"/>
    <w:rsid w:val="00E07FB8"/>
    <w:rsid w:val="00E10178"/>
    <w:rsid w:val="00E151B9"/>
    <w:rsid w:val="00E1556E"/>
    <w:rsid w:val="00E17378"/>
    <w:rsid w:val="00E247B2"/>
    <w:rsid w:val="00E25D6F"/>
    <w:rsid w:val="00E27CFA"/>
    <w:rsid w:val="00E3770A"/>
    <w:rsid w:val="00E413E6"/>
    <w:rsid w:val="00E43043"/>
    <w:rsid w:val="00E458B8"/>
    <w:rsid w:val="00E461E0"/>
    <w:rsid w:val="00E47AA0"/>
    <w:rsid w:val="00E51D94"/>
    <w:rsid w:val="00E51F79"/>
    <w:rsid w:val="00E53106"/>
    <w:rsid w:val="00E53C02"/>
    <w:rsid w:val="00E55C98"/>
    <w:rsid w:val="00E5660F"/>
    <w:rsid w:val="00E6138E"/>
    <w:rsid w:val="00E62297"/>
    <w:rsid w:val="00E63118"/>
    <w:rsid w:val="00E670D0"/>
    <w:rsid w:val="00E7442D"/>
    <w:rsid w:val="00E766A1"/>
    <w:rsid w:val="00E76CDE"/>
    <w:rsid w:val="00E8148B"/>
    <w:rsid w:val="00E85567"/>
    <w:rsid w:val="00E87B66"/>
    <w:rsid w:val="00E913BD"/>
    <w:rsid w:val="00E92C57"/>
    <w:rsid w:val="00E934CA"/>
    <w:rsid w:val="00E94F0D"/>
    <w:rsid w:val="00E95174"/>
    <w:rsid w:val="00E97CF3"/>
    <w:rsid w:val="00EA13A6"/>
    <w:rsid w:val="00EA3371"/>
    <w:rsid w:val="00EA4A96"/>
    <w:rsid w:val="00EA6155"/>
    <w:rsid w:val="00EA7247"/>
    <w:rsid w:val="00EB1DC1"/>
    <w:rsid w:val="00EB2057"/>
    <w:rsid w:val="00EB2A54"/>
    <w:rsid w:val="00EB5417"/>
    <w:rsid w:val="00EB744F"/>
    <w:rsid w:val="00EC09A9"/>
    <w:rsid w:val="00EC2302"/>
    <w:rsid w:val="00EC3FF7"/>
    <w:rsid w:val="00ED06E4"/>
    <w:rsid w:val="00ED0C8A"/>
    <w:rsid w:val="00ED32F6"/>
    <w:rsid w:val="00ED3AC4"/>
    <w:rsid w:val="00ED4A8E"/>
    <w:rsid w:val="00ED5CA9"/>
    <w:rsid w:val="00ED7B09"/>
    <w:rsid w:val="00ED7C01"/>
    <w:rsid w:val="00EE287D"/>
    <w:rsid w:val="00EE7703"/>
    <w:rsid w:val="00EF01B5"/>
    <w:rsid w:val="00EF05D6"/>
    <w:rsid w:val="00EF0808"/>
    <w:rsid w:val="00EF2CDA"/>
    <w:rsid w:val="00EF2D66"/>
    <w:rsid w:val="00EF54C0"/>
    <w:rsid w:val="00F012EF"/>
    <w:rsid w:val="00F0130E"/>
    <w:rsid w:val="00F12256"/>
    <w:rsid w:val="00F143F9"/>
    <w:rsid w:val="00F14FE8"/>
    <w:rsid w:val="00F15218"/>
    <w:rsid w:val="00F15FA6"/>
    <w:rsid w:val="00F20903"/>
    <w:rsid w:val="00F209AB"/>
    <w:rsid w:val="00F211AF"/>
    <w:rsid w:val="00F21954"/>
    <w:rsid w:val="00F221B2"/>
    <w:rsid w:val="00F26BB2"/>
    <w:rsid w:val="00F31A84"/>
    <w:rsid w:val="00F3253E"/>
    <w:rsid w:val="00F3532D"/>
    <w:rsid w:val="00F3675C"/>
    <w:rsid w:val="00F37241"/>
    <w:rsid w:val="00F37772"/>
    <w:rsid w:val="00F437BA"/>
    <w:rsid w:val="00F453C0"/>
    <w:rsid w:val="00F4573E"/>
    <w:rsid w:val="00F47B13"/>
    <w:rsid w:val="00F501E5"/>
    <w:rsid w:val="00F51F91"/>
    <w:rsid w:val="00F566ED"/>
    <w:rsid w:val="00F6116A"/>
    <w:rsid w:val="00F61BD3"/>
    <w:rsid w:val="00F65489"/>
    <w:rsid w:val="00F6571F"/>
    <w:rsid w:val="00F67017"/>
    <w:rsid w:val="00F70EC2"/>
    <w:rsid w:val="00F72081"/>
    <w:rsid w:val="00F74549"/>
    <w:rsid w:val="00F74848"/>
    <w:rsid w:val="00F76B07"/>
    <w:rsid w:val="00F8192D"/>
    <w:rsid w:val="00F82A82"/>
    <w:rsid w:val="00F82C30"/>
    <w:rsid w:val="00F841E0"/>
    <w:rsid w:val="00F855A9"/>
    <w:rsid w:val="00F8779E"/>
    <w:rsid w:val="00F87F44"/>
    <w:rsid w:val="00F93027"/>
    <w:rsid w:val="00F930E6"/>
    <w:rsid w:val="00F9353E"/>
    <w:rsid w:val="00F94146"/>
    <w:rsid w:val="00F96D30"/>
    <w:rsid w:val="00F9764C"/>
    <w:rsid w:val="00FA1E21"/>
    <w:rsid w:val="00FA220F"/>
    <w:rsid w:val="00FA51D3"/>
    <w:rsid w:val="00FB0D30"/>
    <w:rsid w:val="00FB2786"/>
    <w:rsid w:val="00FB2A0C"/>
    <w:rsid w:val="00FB4249"/>
    <w:rsid w:val="00FB61D6"/>
    <w:rsid w:val="00FC1405"/>
    <w:rsid w:val="00FC2CAD"/>
    <w:rsid w:val="00FD10DB"/>
    <w:rsid w:val="00FD10FC"/>
    <w:rsid w:val="00FD14C7"/>
    <w:rsid w:val="00FD286E"/>
    <w:rsid w:val="00FD4EEE"/>
    <w:rsid w:val="00FD5467"/>
    <w:rsid w:val="00FD63F5"/>
    <w:rsid w:val="00FD658D"/>
    <w:rsid w:val="00FD6BE1"/>
    <w:rsid w:val="00FE2698"/>
    <w:rsid w:val="00FE2D36"/>
    <w:rsid w:val="00FE3005"/>
    <w:rsid w:val="00FE5A34"/>
    <w:rsid w:val="00FF0754"/>
    <w:rsid w:val="00FF4A87"/>
    <w:rsid w:val="00FF4DBE"/>
    <w:rsid w:val="00FF561C"/>
    <w:rsid w:val="00FF6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7809"/>
    <o:shapelayout v:ext="edit">
      <o:idmap v:ext="edit" data="1"/>
    </o:shapelayout>
  </w:shapeDefaults>
  <w:decimalSymbol w:val="."/>
  <w:listSeparator w:val=","/>
  <w14:docId w14:val="1BEBD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US"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7F41"/>
    <w:pPr>
      <w:jc w:val="both"/>
    </w:pPr>
  </w:style>
  <w:style w:type="paragraph" w:styleId="Heading1">
    <w:name w:val="heading 1"/>
    <w:basedOn w:val="Normal"/>
    <w:next w:val="BodyText"/>
    <w:link w:val="Heading1Char"/>
    <w:uiPriority w:val="99"/>
    <w:unhideWhenUsed/>
    <w:qFormat/>
    <w:rsid w:val="00677F41"/>
    <w:pPr>
      <w:keepLines/>
      <w:numPr>
        <w:numId w:val="22"/>
      </w:numPr>
      <w:jc w:val="center"/>
      <w:outlineLvl w:val="0"/>
    </w:pPr>
    <w:rPr>
      <w:rFonts w:ascii="Times New Roman Bold" w:eastAsiaTheme="majorEastAsia" w:hAnsi="Times New Roman Bold" w:cs="Times New Roman"/>
      <w:b/>
      <w:bCs/>
      <w:smallCaps/>
      <w:szCs w:val="28"/>
    </w:rPr>
  </w:style>
  <w:style w:type="paragraph" w:styleId="Heading2">
    <w:name w:val="heading 2"/>
    <w:basedOn w:val="Normal"/>
    <w:next w:val="BodyText"/>
    <w:link w:val="Heading2Char"/>
    <w:uiPriority w:val="99"/>
    <w:unhideWhenUsed/>
    <w:qFormat/>
    <w:rsid w:val="00FE5A34"/>
    <w:pPr>
      <w:keepNext/>
      <w:numPr>
        <w:ilvl w:val="1"/>
        <w:numId w:val="22"/>
      </w:numPr>
      <w:spacing w:after="200"/>
      <w:outlineLvl w:val="1"/>
    </w:pPr>
    <w:rPr>
      <w:rFonts w:eastAsiaTheme="majorEastAsia" w:cs="Times New Roman"/>
      <w:b/>
      <w:bCs/>
      <w:i/>
      <w:szCs w:val="26"/>
    </w:rPr>
  </w:style>
  <w:style w:type="paragraph" w:styleId="Heading3">
    <w:name w:val="heading 3"/>
    <w:basedOn w:val="Normal"/>
    <w:next w:val="BodyText"/>
    <w:link w:val="Heading3Char"/>
    <w:uiPriority w:val="99"/>
    <w:unhideWhenUsed/>
    <w:qFormat/>
    <w:rsid w:val="00FE5A34"/>
    <w:pPr>
      <w:keepLines/>
      <w:numPr>
        <w:ilvl w:val="2"/>
        <w:numId w:val="22"/>
      </w:numPr>
      <w:spacing w:after="180"/>
      <w:outlineLvl w:val="2"/>
    </w:pPr>
    <w:rPr>
      <w:rFonts w:eastAsiaTheme="majorEastAsia" w:cs="Times New Roman"/>
      <w:b/>
      <w:bCs/>
      <w:u w:val="single"/>
    </w:rPr>
  </w:style>
  <w:style w:type="paragraph" w:styleId="Heading4">
    <w:name w:val="heading 4"/>
    <w:basedOn w:val="Normal"/>
    <w:next w:val="BodyText"/>
    <w:link w:val="Heading4Char"/>
    <w:uiPriority w:val="99"/>
    <w:unhideWhenUsed/>
    <w:qFormat/>
    <w:rsid w:val="00677F41"/>
    <w:pPr>
      <w:keepLines/>
      <w:numPr>
        <w:ilvl w:val="3"/>
        <w:numId w:val="22"/>
      </w:numPr>
      <w:spacing w:line="240" w:lineRule="exact"/>
      <w:outlineLvl w:val="3"/>
    </w:pPr>
    <w:rPr>
      <w:rFonts w:eastAsiaTheme="majorEastAsia" w:cs="Times New Roman"/>
      <w:bCs/>
      <w:iCs/>
      <w:u w:val="single"/>
    </w:rPr>
  </w:style>
  <w:style w:type="paragraph" w:styleId="Heading5">
    <w:name w:val="heading 5"/>
    <w:basedOn w:val="Normal"/>
    <w:next w:val="BodyText"/>
    <w:link w:val="Heading5Char"/>
    <w:uiPriority w:val="99"/>
    <w:unhideWhenUsed/>
    <w:qFormat/>
    <w:rsid w:val="00677F41"/>
    <w:pPr>
      <w:keepLines/>
      <w:numPr>
        <w:ilvl w:val="4"/>
        <w:numId w:val="22"/>
      </w:numPr>
      <w:spacing w:line="240" w:lineRule="exact"/>
      <w:outlineLvl w:val="4"/>
    </w:pPr>
    <w:rPr>
      <w:rFonts w:eastAsiaTheme="majorEastAsia" w:cs="Times New Roman"/>
      <w:u w:val="single"/>
    </w:rPr>
  </w:style>
  <w:style w:type="paragraph" w:styleId="Heading6">
    <w:name w:val="heading 6"/>
    <w:basedOn w:val="Normal"/>
    <w:next w:val="BodyText"/>
    <w:link w:val="Heading6Char"/>
    <w:uiPriority w:val="99"/>
    <w:unhideWhenUsed/>
    <w:qFormat/>
    <w:rsid w:val="00677F41"/>
    <w:pPr>
      <w:keepLines/>
      <w:numPr>
        <w:ilvl w:val="5"/>
        <w:numId w:val="22"/>
      </w:numPr>
      <w:spacing w:line="240" w:lineRule="exact"/>
      <w:outlineLvl w:val="5"/>
    </w:pPr>
    <w:rPr>
      <w:rFonts w:eastAsiaTheme="majorEastAsia" w:cs="Times New Roman"/>
      <w:iCs/>
      <w:u w:val="single"/>
    </w:rPr>
  </w:style>
  <w:style w:type="paragraph" w:styleId="Heading7">
    <w:name w:val="heading 7"/>
    <w:basedOn w:val="Normal"/>
    <w:next w:val="BodyText"/>
    <w:link w:val="Heading7Char"/>
    <w:uiPriority w:val="99"/>
    <w:unhideWhenUsed/>
    <w:qFormat/>
    <w:rsid w:val="00677F41"/>
    <w:pPr>
      <w:keepLines/>
      <w:numPr>
        <w:ilvl w:val="6"/>
        <w:numId w:val="22"/>
      </w:numPr>
      <w:spacing w:line="240" w:lineRule="exact"/>
      <w:outlineLvl w:val="6"/>
    </w:pPr>
    <w:rPr>
      <w:rFonts w:eastAsiaTheme="majorEastAsia" w:cs="Times New Roman"/>
      <w:iCs/>
      <w:u w:val="single"/>
    </w:rPr>
  </w:style>
  <w:style w:type="paragraph" w:styleId="Heading8">
    <w:name w:val="heading 8"/>
    <w:basedOn w:val="Normal"/>
    <w:next w:val="BodyText"/>
    <w:link w:val="Heading8Char"/>
    <w:uiPriority w:val="99"/>
    <w:unhideWhenUsed/>
    <w:qFormat/>
    <w:rsid w:val="00677F41"/>
    <w:pPr>
      <w:keepLines/>
      <w:numPr>
        <w:ilvl w:val="7"/>
        <w:numId w:val="22"/>
      </w:numPr>
      <w:spacing w:line="240" w:lineRule="exact"/>
      <w:outlineLvl w:val="7"/>
    </w:pPr>
    <w:rPr>
      <w:rFonts w:eastAsiaTheme="majorEastAsia" w:cs="Times New Roman"/>
      <w:szCs w:val="20"/>
      <w:u w:val="single"/>
    </w:rPr>
  </w:style>
  <w:style w:type="paragraph" w:styleId="Heading9">
    <w:name w:val="heading 9"/>
    <w:basedOn w:val="Normal"/>
    <w:next w:val="BodyText"/>
    <w:link w:val="Heading9Char"/>
    <w:uiPriority w:val="99"/>
    <w:semiHidden/>
    <w:unhideWhenUsed/>
    <w:qFormat/>
    <w:rsid w:val="00677F41"/>
    <w:pPr>
      <w:keepLines/>
      <w:numPr>
        <w:ilvl w:val="8"/>
        <w:numId w:val="22"/>
      </w:numPr>
      <w:spacing w:line="240" w:lineRule="exact"/>
      <w:outlineLvl w:val="8"/>
    </w:pPr>
    <w:rPr>
      <w:rFonts w:eastAsiaTheme="majorEastAsia" w:cs="Times New Roman"/>
      <w:i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E06921"/>
  </w:style>
  <w:style w:type="paragraph" w:customStyle="1" w:styleId="BTDBodyTextDouble">
    <w:name w:val="BTD Body Text Double"/>
    <w:basedOn w:val="Normal"/>
    <w:uiPriority w:val="1"/>
    <w:qFormat/>
    <w:rsid w:val="00E06921"/>
    <w:pPr>
      <w:spacing w:after="0" w:line="480" w:lineRule="auto"/>
    </w:pPr>
  </w:style>
  <w:style w:type="paragraph" w:customStyle="1" w:styleId="BTDFLBodyTextDoubleFLI">
    <w:name w:val="BTDFL Body Text Double FLI"/>
    <w:basedOn w:val="Normal"/>
    <w:uiPriority w:val="1"/>
    <w:qFormat/>
    <w:rsid w:val="00E06921"/>
    <w:pPr>
      <w:spacing w:after="0" w:line="480" w:lineRule="auto"/>
      <w:ind w:firstLine="720"/>
    </w:pPr>
  </w:style>
  <w:style w:type="paragraph" w:customStyle="1" w:styleId="BTFIBodyTextFirstIndent">
    <w:name w:val="BTFI Body Text First Indent"/>
    <w:basedOn w:val="Normal"/>
    <w:uiPriority w:val="1"/>
    <w:qFormat/>
    <w:rsid w:val="00E06921"/>
    <w:pPr>
      <w:ind w:firstLine="720"/>
    </w:pPr>
  </w:style>
  <w:style w:type="paragraph" w:customStyle="1" w:styleId="BTFI2BodyTextFirstIndent10">
    <w:name w:val="BTFI2 Body Text First Indent 1.0"/>
    <w:basedOn w:val="Normal"/>
    <w:uiPriority w:val="1"/>
    <w:qFormat/>
    <w:rsid w:val="00E06921"/>
    <w:pPr>
      <w:ind w:firstLine="1440"/>
    </w:pPr>
  </w:style>
  <w:style w:type="paragraph" w:customStyle="1" w:styleId="BTIBodyTextIndent5">
    <w:name w:val="BTI Body Text Indent .5"/>
    <w:basedOn w:val="Normal"/>
    <w:uiPriority w:val="1"/>
    <w:qFormat/>
    <w:rsid w:val="00E06921"/>
    <w:pPr>
      <w:ind w:left="720"/>
    </w:pPr>
  </w:style>
  <w:style w:type="paragraph" w:customStyle="1" w:styleId="BTI2BodyTextHangIndent">
    <w:name w:val="BTI2 Body Text Hang Indent"/>
    <w:basedOn w:val="Normal"/>
    <w:uiPriority w:val="1"/>
    <w:qFormat/>
    <w:rsid w:val="00E06921"/>
    <w:pPr>
      <w:ind w:left="720" w:hanging="720"/>
    </w:pPr>
  </w:style>
  <w:style w:type="paragraph" w:customStyle="1" w:styleId="BTI3BodyTextIndent10">
    <w:name w:val="BTI3 Body Text Indent 1.0"/>
    <w:basedOn w:val="Normal"/>
    <w:uiPriority w:val="1"/>
    <w:qFormat/>
    <w:rsid w:val="00E06921"/>
    <w:pPr>
      <w:ind w:left="1440"/>
    </w:pPr>
  </w:style>
  <w:style w:type="paragraph" w:customStyle="1" w:styleId="BTI4BodyTextIndent15">
    <w:name w:val="BTI4 Body Text Indent 1.5"/>
    <w:basedOn w:val="Normal"/>
    <w:uiPriority w:val="1"/>
    <w:qFormat/>
    <w:rsid w:val="00E06921"/>
    <w:pPr>
      <w:ind w:left="2160"/>
    </w:pPr>
  </w:style>
  <w:style w:type="paragraph" w:customStyle="1" w:styleId="BTI5BodyTextIndent20">
    <w:name w:val="BTI5 Body Text Indent 2.0"/>
    <w:basedOn w:val="Normal"/>
    <w:uiPriority w:val="1"/>
    <w:qFormat/>
    <w:rsid w:val="00E06921"/>
    <w:pPr>
      <w:ind w:left="2880"/>
    </w:pPr>
  </w:style>
  <w:style w:type="paragraph" w:customStyle="1" w:styleId="BTNSBodyTextNoSpace">
    <w:name w:val="BTNS Body Text No Space"/>
    <w:basedOn w:val="Normal"/>
    <w:uiPriority w:val="1"/>
    <w:qFormat/>
    <w:rsid w:val="00E06921"/>
    <w:pPr>
      <w:spacing w:after="0"/>
    </w:pPr>
  </w:style>
  <w:style w:type="paragraph" w:customStyle="1" w:styleId="Q5BodyTextQuote5">
    <w:name w:val="Q.5 Body Text Quote .5"/>
    <w:basedOn w:val="Normal"/>
    <w:uiPriority w:val="1"/>
    <w:qFormat/>
    <w:rsid w:val="00CA6F8A"/>
    <w:pPr>
      <w:ind w:left="720" w:right="720"/>
    </w:pPr>
  </w:style>
  <w:style w:type="paragraph" w:customStyle="1" w:styleId="Q1BodyTextQuote1">
    <w:name w:val="Q1 Body Text Quote 1"/>
    <w:basedOn w:val="Normal"/>
    <w:uiPriority w:val="1"/>
    <w:qFormat/>
    <w:rsid w:val="007959E0"/>
    <w:pPr>
      <w:ind w:left="1440" w:right="1440"/>
    </w:pPr>
  </w:style>
  <w:style w:type="paragraph" w:customStyle="1" w:styleId="CSCaseStyle">
    <w:name w:val="CS Case Style"/>
    <w:basedOn w:val="Normal"/>
    <w:uiPriority w:val="1"/>
    <w:qFormat/>
    <w:rsid w:val="007959E0"/>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7959E0"/>
    <w:pPr>
      <w:jc w:val="center"/>
    </w:pPr>
  </w:style>
  <w:style w:type="paragraph" w:customStyle="1" w:styleId="SBBSignatureBlockBoth">
    <w:name w:val="SBB Signature Block Both"/>
    <w:basedOn w:val="Normal"/>
    <w:uiPriority w:val="1"/>
    <w:qFormat/>
    <w:rsid w:val="00E06921"/>
    <w:pPr>
      <w:tabs>
        <w:tab w:val="left" w:pos="1080"/>
        <w:tab w:val="right" w:leader="underscore" w:pos="4320"/>
        <w:tab w:val="left" w:pos="5040"/>
        <w:tab w:val="left" w:pos="6120"/>
        <w:tab w:val="right" w:leader="underscore" w:pos="9360"/>
      </w:tabs>
      <w:spacing w:after="0"/>
      <w:jc w:val="left"/>
    </w:pPr>
  </w:style>
  <w:style w:type="paragraph" w:customStyle="1" w:styleId="SBLSignatureBlockLeft">
    <w:name w:val="SBL Signature Block Left"/>
    <w:basedOn w:val="Normal"/>
    <w:uiPriority w:val="1"/>
    <w:qFormat/>
    <w:rsid w:val="00E06921"/>
    <w:pPr>
      <w:tabs>
        <w:tab w:val="left" w:pos="1080"/>
        <w:tab w:val="right" w:leader="underscore" w:pos="4320"/>
      </w:tabs>
      <w:spacing w:after="0"/>
      <w:jc w:val="left"/>
    </w:pPr>
  </w:style>
  <w:style w:type="paragraph" w:customStyle="1" w:styleId="SBRSignatureBlockRight">
    <w:name w:val="SBR Signature Block Right"/>
    <w:basedOn w:val="Normal"/>
    <w:uiPriority w:val="1"/>
    <w:qFormat/>
    <w:rsid w:val="00E06921"/>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E06921"/>
    <w:pPr>
      <w:tabs>
        <w:tab w:val="left" w:pos="1080"/>
        <w:tab w:val="left" w:pos="6120"/>
      </w:tabs>
      <w:jc w:val="left"/>
    </w:pPr>
  </w:style>
  <w:style w:type="paragraph" w:customStyle="1" w:styleId="SUSubtitle">
    <w:name w:val="SU Subtitle"/>
    <w:basedOn w:val="Normal"/>
    <w:next w:val="BTBodyText"/>
    <w:uiPriority w:val="1"/>
    <w:qFormat/>
    <w:rsid w:val="0069339D"/>
    <w:pPr>
      <w:keepNext/>
      <w:jc w:val="center"/>
      <w:outlineLvl w:val="1"/>
    </w:pPr>
    <w:rPr>
      <w:b/>
    </w:rPr>
  </w:style>
  <w:style w:type="paragraph" w:customStyle="1" w:styleId="TBCTitleBoldCenter">
    <w:name w:val="TBC Title Bold Center"/>
    <w:basedOn w:val="Normal"/>
    <w:next w:val="Normal"/>
    <w:uiPriority w:val="2"/>
    <w:qFormat/>
    <w:rsid w:val="0069339D"/>
    <w:pPr>
      <w:keepNext/>
      <w:jc w:val="center"/>
      <w:outlineLvl w:val="0"/>
    </w:pPr>
    <w:rPr>
      <w:b/>
    </w:rPr>
  </w:style>
  <w:style w:type="paragraph" w:customStyle="1" w:styleId="TBCUTitleBoldCenterUnderline">
    <w:name w:val="TBCU Title Bold Center Underline"/>
    <w:basedOn w:val="Normal"/>
    <w:next w:val="Normal"/>
    <w:uiPriority w:val="2"/>
    <w:qFormat/>
    <w:rsid w:val="0069339D"/>
    <w:pPr>
      <w:keepNext/>
      <w:jc w:val="center"/>
      <w:outlineLvl w:val="0"/>
    </w:pPr>
    <w:rPr>
      <w:b/>
      <w:u w:val="single"/>
    </w:rPr>
  </w:style>
  <w:style w:type="character" w:customStyle="1" w:styleId="Heading1Char">
    <w:name w:val="Heading 1 Char"/>
    <w:basedOn w:val="DefaultParagraphFont"/>
    <w:link w:val="Heading1"/>
    <w:uiPriority w:val="99"/>
    <w:rsid w:val="00677F41"/>
    <w:rPr>
      <w:rFonts w:ascii="Times New Roman Bold" w:eastAsiaTheme="majorEastAsia" w:hAnsi="Times New Roman Bold" w:cs="Times New Roman"/>
      <w:b/>
      <w:bCs/>
      <w:smallCaps/>
      <w:szCs w:val="28"/>
    </w:rPr>
  </w:style>
  <w:style w:type="paragraph" w:customStyle="1" w:styleId="LBListBullet">
    <w:name w:val="LB ListBullet"/>
    <w:basedOn w:val="Normal"/>
    <w:uiPriority w:val="1"/>
    <w:qFormat/>
    <w:rsid w:val="00DA6599"/>
    <w:pPr>
      <w:numPr>
        <w:numId w:val="5"/>
      </w:numPr>
      <w:tabs>
        <w:tab w:val="left" w:pos="720"/>
      </w:tabs>
      <w:outlineLvl w:val="0"/>
    </w:pPr>
  </w:style>
  <w:style w:type="paragraph" w:customStyle="1" w:styleId="LN1ListNumber">
    <w:name w:val="LN1 ListNumber"/>
    <w:basedOn w:val="Normal"/>
    <w:uiPriority w:val="1"/>
    <w:qFormat/>
    <w:rsid w:val="00E06921"/>
    <w:pPr>
      <w:numPr>
        <w:numId w:val="7"/>
      </w:numPr>
      <w:outlineLvl w:val="0"/>
    </w:pPr>
  </w:style>
  <w:style w:type="paragraph" w:customStyle="1" w:styleId="LN2ListNumber">
    <w:name w:val="LN2 ListNumber"/>
    <w:basedOn w:val="Normal"/>
    <w:uiPriority w:val="1"/>
    <w:qFormat/>
    <w:rsid w:val="00E06921"/>
    <w:pPr>
      <w:numPr>
        <w:numId w:val="9"/>
      </w:numPr>
      <w:tabs>
        <w:tab w:val="left" w:pos="720"/>
      </w:tabs>
      <w:outlineLvl w:val="0"/>
    </w:pPr>
  </w:style>
  <w:style w:type="paragraph" w:customStyle="1" w:styleId="TITitle">
    <w:name w:val="TI Title"/>
    <w:basedOn w:val="Normal"/>
    <w:next w:val="Normal"/>
    <w:uiPriority w:val="2"/>
    <w:qFormat/>
    <w:rsid w:val="006D01B8"/>
    <w:pPr>
      <w:keepNext/>
      <w:jc w:val="center"/>
    </w:pPr>
    <w:rPr>
      <w:b/>
      <w:kern w:val="28"/>
      <w:sz w:val="28"/>
    </w:rPr>
  </w:style>
  <w:style w:type="character" w:customStyle="1" w:styleId="Heading2Char">
    <w:name w:val="Heading 2 Char"/>
    <w:basedOn w:val="DefaultParagraphFont"/>
    <w:link w:val="Heading2"/>
    <w:uiPriority w:val="99"/>
    <w:rsid w:val="00FE5A34"/>
    <w:rPr>
      <w:rFonts w:eastAsiaTheme="majorEastAsia" w:cs="Times New Roman"/>
      <w:b/>
      <w:bCs/>
      <w:i/>
      <w:szCs w:val="26"/>
    </w:rPr>
  </w:style>
  <w:style w:type="character" w:customStyle="1" w:styleId="Heading3Char">
    <w:name w:val="Heading 3 Char"/>
    <w:basedOn w:val="DefaultParagraphFont"/>
    <w:link w:val="Heading3"/>
    <w:uiPriority w:val="99"/>
    <w:rsid w:val="00FE5A34"/>
    <w:rPr>
      <w:rFonts w:eastAsiaTheme="majorEastAsia" w:cs="Times New Roman"/>
      <w:b/>
      <w:bCs/>
      <w:u w:val="single"/>
    </w:rPr>
  </w:style>
  <w:style w:type="character" w:customStyle="1" w:styleId="Heading4Char">
    <w:name w:val="Heading 4 Char"/>
    <w:basedOn w:val="DefaultParagraphFont"/>
    <w:link w:val="Heading4"/>
    <w:uiPriority w:val="99"/>
    <w:rsid w:val="004F6F6C"/>
    <w:rPr>
      <w:rFonts w:eastAsiaTheme="majorEastAsia" w:cs="Times New Roman"/>
      <w:bCs/>
      <w:iCs/>
      <w:u w:val="single"/>
    </w:rPr>
  </w:style>
  <w:style w:type="character" w:customStyle="1" w:styleId="Heading5Char">
    <w:name w:val="Heading 5 Char"/>
    <w:basedOn w:val="DefaultParagraphFont"/>
    <w:link w:val="Heading5"/>
    <w:uiPriority w:val="99"/>
    <w:rsid w:val="004F6F6C"/>
    <w:rPr>
      <w:rFonts w:eastAsiaTheme="majorEastAsia" w:cs="Times New Roman"/>
      <w:u w:val="single"/>
    </w:rPr>
  </w:style>
  <w:style w:type="character" w:customStyle="1" w:styleId="Heading6Char">
    <w:name w:val="Heading 6 Char"/>
    <w:basedOn w:val="DefaultParagraphFont"/>
    <w:link w:val="Heading6"/>
    <w:uiPriority w:val="99"/>
    <w:rsid w:val="004F6F6C"/>
    <w:rPr>
      <w:rFonts w:eastAsiaTheme="majorEastAsia" w:cs="Times New Roman"/>
      <w:iCs/>
      <w:u w:val="single"/>
    </w:rPr>
  </w:style>
  <w:style w:type="character" w:customStyle="1" w:styleId="Heading7Char">
    <w:name w:val="Heading 7 Char"/>
    <w:basedOn w:val="DefaultParagraphFont"/>
    <w:link w:val="Heading7"/>
    <w:uiPriority w:val="99"/>
    <w:rsid w:val="004F6F6C"/>
    <w:rPr>
      <w:rFonts w:eastAsiaTheme="majorEastAsia" w:cs="Times New Roman"/>
      <w:iCs/>
      <w:u w:val="single"/>
    </w:rPr>
  </w:style>
  <w:style w:type="character" w:customStyle="1" w:styleId="Heading8Char">
    <w:name w:val="Heading 8 Char"/>
    <w:basedOn w:val="DefaultParagraphFont"/>
    <w:link w:val="Heading8"/>
    <w:uiPriority w:val="99"/>
    <w:rsid w:val="004F6F6C"/>
    <w:rPr>
      <w:rFonts w:eastAsiaTheme="majorEastAsia" w:cs="Times New Roman"/>
      <w:szCs w:val="20"/>
      <w:u w:val="single"/>
    </w:rPr>
  </w:style>
  <w:style w:type="character" w:customStyle="1" w:styleId="Heading9Char">
    <w:name w:val="Heading 9 Char"/>
    <w:basedOn w:val="DefaultParagraphFont"/>
    <w:link w:val="Heading9"/>
    <w:uiPriority w:val="99"/>
    <w:semiHidden/>
    <w:rsid w:val="004F6F6C"/>
    <w:rPr>
      <w:rFonts w:eastAsiaTheme="majorEastAsia" w:cs="Times New Roman"/>
      <w:iCs/>
      <w:szCs w:val="20"/>
      <w:u w:val="single"/>
    </w:rPr>
  </w:style>
  <w:style w:type="paragraph" w:customStyle="1" w:styleId="BLBlock">
    <w:name w:val="BL Block"/>
    <w:basedOn w:val="Normal"/>
    <w:uiPriority w:val="1"/>
    <w:qFormat/>
    <w:rsid w:val="008A0F3D"/>
    <w:pPr>
      <w:ind w:left="1440" w:right="1440"/>
    </w:pPr>
  </w:style>
  <w:style w:type="paragraph" w:styleId="ListParagraph">
    <w:name w:val="List Paragraph"/>
    <w:basedOn w:val="Normal"/>
    <w:uiPriority w:val="99"/>
    <w:unhideWhenUsed/>
    <w:qFormat/>
    <w:rsid w:val="008617C7"/>
    <w:pPr>
      <w:ind w:left="720"/>
    </w:pPr>
  </w:style>
  <w:style w:type="table" w:styleId="TableGrid">
    <w:name w:val="Table Grid"/>
    <w:basedOn w:val="TableNormal"/>
    <w:uiPriority w:val="59"/>
    <w:rsid w:val="00D24F2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0FA6"/>
    <w:pPr>
      <w:tabs>
        <w:tab w:val="center" w:pos="4680"/>
        <w:tab w:val="right" w:pos="9360"/>
      </w:tabs>
      <w:spacing w:after="0"/>
    </w:pPr>
  </w:style>
  <w:style w:type="character" w:customStyle="1" w:styleId="HeaderChar">
    <w:name w:val="Header Char"/>
    <w:basedOn w:val="DefaultParagraphFont"/>
    <w:link w:val="Header"/>
    <w:uiPriority w:val="99"/>
    <w:rsid w:val="002F0FA6"/>
  </w:style>
  <w:style w:type="paragraph" w:styleId="Footer">
    <w:name w:val="footer"/>
    <w:basedOn w:val="Normal"/>
    <w:link w:val="FooterChar"/>
    <w:uiPriority w:val="99"/>
    <w:unhideWhenUsed/>
    <w:rsid w:val="002F0FA6"/>
    <w:pPr>
      <w:tabs>
        <w:tab w:val="center" w:pos="4680"/>
        <w:tab w:val="right" w:pos="9360"/>
      </w:tabs>
      <w:spacing w:after="0"/>
    </w:pPr>
  </w:style>
  <w:style w:type="character" w:customStyle="1" w:styleId="FooterChar">
    <w:name w:val="Footer Char"/>
    <w:basedOn w:val="DefaultParagraphFont"/>
    <w:link w:val="Footer"/>
    <w:uiPriority w:val="99"/>
    <w:rsid w:val="002F0FA6"/>
  </w:style>
  <w:style w:type="character" w:styleId="CommentReference">
    <w:name w:val="annotation reference"/>
    <w:basedOn w:val="DefaultParagraphFont"/>
    <w:uiPriority w:val="99"/>
    <w:semiHidden/>
    <w:unhideWhenUsed/>
    <w:rsid w:val="00130D16"/>
    <w:rPr>
      <w:sz w:val="16"/>
      <w:szCs w:val="16"/>
    </w:rPr>
  </w:style>
  <w:style w:type="paragraph" w:styleId="CommentText">
    <w:name w:val="annotation text"/>
    <w:basedOn w:val="Normal"/>
    <w:link w:val="CommentTextChar"/>
    <w:uiPriority w:val="99"/>
    <w:unhideWhenUsed/>
    <w:rsid w:val="00130D16"/>
    <w:rPr>
      <w:sz w:val="20"/>
      <w:szCs w:val="20"/>
    </w:rPr>
  </w:style>
  <w:style w:type="character" w:customStyle="1" w:styleId="CommentTextChar">
    <w:name w:val="Comment Text Char"/>
    <w:basedOn w:val="DefaultParagraphFont"/>
    <w:link w:val="CommentText"/>
    <w:uiPriority w:val="99"/>
    <w:rsid w:val="00130D16"/>
    <w:rPr>
      <w:sz w:val="20"/>
      <w:szCs w:val="20"/>
    </w:rPr>
  </w:style>
  <w:style w:type="paragraph" w:styleId="CommentSubject">
    <w:name w:val="annotation subject"/>
    <w:basedOn w:val="CommentText"/>
    <w:next w:val="CommentText"/>
    <w:link w:val="CommentSubjectChar"/>
    <w:uiPriority w:val="99"/>
    <w:semiHidden/>
    <w:unhideWhenUsed/>
    <w:rsid w:val="00130D16"/>
    <w:rPr>
      <w:b/>
      <w:bCs/>
    </w:rPr>
  </w:style>
  <w:style w:type="character" w:customStyle="1" w:styleId="CommentSubjectChar">
    <w:name w:val="Comment Subject Char"/>
    <w:basedOn w:val="CommentTextChar"/>
    <w:link w:val="CommentSubject"/>
    <w:uiPriority w:val="99"/>
    <w:semiHidden/>
    <w:rsid w:val="00130D16"/>
    <w:rPr>
      <w:b/>
      <w:bCs/>
      <w:sz w:val="20"/>
      <w:szCs w:val="20"/>
    </w:rPr>
  </w:style>
  <w:style w:type="paragraph" w:styleId="BalloonText">
    <w:name w:val="Balloon Text"/>
    <w:basedOn w:val="Normal"/>
    <w:link w:val="BalloonTextChar"/>
    <w:uiPriority w:val="99"/>
    <w:semiHidden/>
    <w:unhideWhenUsed/>
    <w:rsid w:val="00130D1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D16"/>
    <w:rPr>
      <w:rFonts w:ascii="Tahoma" w:hAnsi="Tahoma" w:cs="Tahoma"/>
      <w:sz w:val="16"/>
      <w:szCs w:val="16"/>
    </w:rPr>
  </w:style>
  <w:style w:type="paragraph" w:styleId="FootnoteText">
    <w:name w:val="footnote text"/>
    <w:basedOn w:val="Normal"/>
    <w:link w:val="FootnoteTextChar"/>
    <w:uiPriority w:val="99"/>
    <w:unhideWhenUsed/>
    <w:rsid w:val="00BE374E"/>
    <w:pPr>
      <w:spacing w:after="0"/>
    </w:pPr>
    <w:rPr>
      <w:sz w:val="20"/>
      <w:szCs w:val="20"/>
    </w:rPr>
  </w:style>
  <w:style w:type="character" w:customStyle="1" w:styleId="FootnoteTextChar">
    <w:name w:val="Footnote Text Char"/>
    <w:basedOn w:val="DefaultParagraphFont"/>
    <w:link w:val="FootnoteText"/>
    <w:uiPriority w:val="99"/>
    <w:rsid w:val="00BE374E"/>
    <w:rPr>
      <w:sz w:val="20"/>
      <w:szCs w:val="20"/>
    </w:rPr>
  </w:style>
  <w:style w:type="character" w:styleId="FootnoteReference">
    <w:name w:val="footnote reference"/>
    <w:basedOn w:val="DefaultParagraphFont"/>
    <w:uiPriority w:val="99"/>
    <w:semiHidden/>
    <w:unhideWhenUsed/>
    <w:rsid w:val="00BE374E"/>
    <w:rPr>
      <w:vertAlign w:val="superscript"/>
    </w:rPr>
  </w:style>
  <w:style w:type="character" w:styleId="Hyperlink">
    <w:name w:val="Hyperlink"/>
    <w:basedOn w:val="DefaultParagraphFont"/>
    <w:uiPriority w:val="99"/>
    <w:unhideWhenUsed/>
    <w:rsid w:val="0014203B"/>
    <w:rPr>
      <w:color w:val="0000FF" w:themeColor="hyperlink"/>
      <w:u w:val="single"/>
    </w:rPr>
  </w:style>
  <w:style w:type="paragraph" w:styleId="Revision">
    <w:name w:val="Revision"/>
    <w:hidden/>
    <w:uiPriority w:val="99"/>
    <w:semiHidden/>
    <w:rsid w:val="003F3A39"/>
    <w:pPr>
      <w:spacing w:after="0"/>
    </w:pPr>
  </w:style>
  <w:style w:type="paragraph" w:styleId="EndnoteText">
    <w:name w:val="endnote text"/>
    <w:basedOn w:val="Normal"/>
    <w:link w:val="EndnoteTextChar"/>
    <w:uiPriority w:val="99"/>
    <w:semiHidden/>
    <w:unhideWhenUsed/>
    <w:rsid w:val="00984452"/>
    <w:pPr>
      <w:spacing w:after="0"/>
    </w:pPr>
    <w:rPr>
      <w:sz w:val="20"/>
      <w:szCs w:val="20"/>
    </w:rPr>
  </w:style>
  <w:style w:type="character" w:customStyle="1" w:styleId="EndnoteTextChar">
    <w:name w:val="Endnote Text Char"/>
    <w:basedOn w:val="DefaultParagraphFont"/>
    <w:link w:val="EndnoteText"/>
    <w:uiPriority w:val="99"/>
    <w:semiHidden/>
    <w:rsid w:val="00984452"/>
    <w:rPr>
      <w:sz w:val="20"/>
      <w:szCs w:val="20"/>
    </w:rPr>
  </w:style>
  <w:style w:type="character" w:styleId="EndnoteReference">
    <w:name w:val="endnote reference"/>
    <w:basedOn w:val="DefaultParagraphFont"/>
    <w:uiPriority w:val="99"/>
    <w:semiHidden/>
    <w:unhideWhenUsed/>
    <w:rsid w:val="00984452"/>
    <w:rPr>
      <w:vertAlign w:val="superscript"/>
    </w:rPr>
  </w:style>
  <w:style w:type="paragraph" w:customStyle="1" w:styleId="BodyTextQuote1">
    <w:name w:val="Body Text Quote 1"/>
    <w:aliases w:val="Q1,VE Body Text Quote 1"/>
    <w:basedOn w:val="Normal"/>
    <w:rsid w:val="00B56896"/>
    <w:pPr>
      <w:ind w:left="1440" w:right="1440"/>
      <w:jc w:val="left"/>
    </w:pPr>
    <w:rPr>
      <w:rFonts w:eastAsia="Times New Roman" w:cs="Times New Roman"/>
    </w:rPr>
  </w:style>
  <w:style w:type="character" w:customStyle="1" w:styleId="DocID">
    <w:name w:val="DocID"/>
    <w:basedOn w:val="DefaultParagraphFont"/>
    <w:rsid w:val="004B1FE9"/>
    <w:rPr>
      <w:rFonts w:ascii="Times New Roman" w:hAnsi="Times New Roman" w:cs="Times New Roman"/>
      <w:b w:val="0"/>
      <w:i w:val="0"/>
      <w:caps w:val="0"/>
      <w:vanish w:val="0"/>
      <w:color w:val="000000"/>
      <w:sz w:val="18"/>
      <w:u w:val="none"/>
    </w:rPr>
  </w:style>
  <w:style w:type="character" w:styleId="UnresolvedMention">
    <w:name w:val="Unresolved Mention"/>
    <w:basedOn w:val="DefaultParagraphFont"/>
    <w:uiPriority w:val="99"/>
    <w:semiHidden/>
    <w:unhideWhenUsed/>
    <w:rsid w:val="00265052"/>
    <w:rPr>
      <w:color w:val="808080"/>
      <w:shd w:val="clear" w:color="auto" w:fill="E6E6E6"/>
    </w:rPr>
  </w:style>
  <w:style w:type="paragraph" w:styleId="BodyText">
    <w:name w:val="Body Text"/>
    <w:basedOn w:val="Normal"/>
    <w:link w:val="BodyTextChar"/>
    <w:uiPriority w:val="99"/>
    <w:semiHidden/>
    <w:unhideWhenUsed/>
    <w:rsid w:val="00677F41"/>
    <w:pPr>
      <w:spacing w:after="120"/>
    </w:pPr>
  </w:style>
  <w:style w:type="character" w:customStyle="1" w:styleId="BodyTextChar">
    <w:name w:val="Body Text Char"/>
    <w:basedOn w:val="DefaultParagraphFont"/>
    <w:link w:val="BodyText"/>
    <w:uiPriority w:val="99"/>
    <w:semiHidden/>
    <w:rsid w:val="00677F41"/>
  </w:style>
  <w:style w:type="paragraph" w:styleId="TOCHeading">
    <w:name w:val="TOC Heading"/>
    <w:basedOn w:val="Heading1"/>
    <w:next w:val="Normal"/>
    <w:uiPriority w:val="99"/>
    <w:semiHidden/>
    <w:unhideWhenUsed/>
    <w:qFormat/>
    <w:rsid w:val="002B22AF"/>
    <w:pPr>
      <w:keepNext/>
      <w:numPr>
        <w:numId w:val="0"/>
      </w:numPr>
      <w:spacing w:before="240" w:after="0"/>
      <w:jc w:val="both"/>
      <w:outlineLvl w:val="9"/>
    </w:pPr>
    <w:rPr>
      <w:rFonts w:asciiTheme="majorHAnsi" w:hAnsiTheme="majorHAnsi" w:cstheme="majorBidi"/>
      <w:b w:val="0"/>
      <w:bCs w:val="0"/>
      <w:smallCaps w:val="0"/>
      <w:color w:val="365F91" w:themeColor="accent1" w:themeShade="BF"/>
      <w:sz w:val="32"/>
      <w:szCs w:val="32"/>
    </w:rPr>
  </w:style>
  <w:style w:type="paragraph" w:styleId="TOC1">
    <w:name w:val="toc 1"/>
    <w:basedOn w:val="Normal"/>
    <w:next w:val="Normal"/>
    <w:autoRedefine/>
    <w:uiPriority w:val="39"/>
    <w:unhideWhenUsed/>
    <w:rsid w:val="002B22AF"/>
    <w:pPr>
      <w:spacing w:after="100"/>
    </w:pPr>
  </w:style>
  <w:style w:type="paragraph" w:styleId="TOC2">
    <w:name w:val="toc 2"/>
    <w:basedOn w:val="Normal"/>
    <w:next w:val="Normal"/>
    <w:autoRedefine/>
    <w:uiPriority w:val="39"/>
    <w:unhideWhenUsed/>
    <w:rsid w:val="002B22AF"/>
    <w:pPr>
      <w:tabs>
        <w:tab w:val="right" w:leader="dot" w:pos="9360"/>
      </w:tabs>
      <w:spacing w:after="100"/>
      <w:ind w:left="756" w:right="720" w:hanging="360"/>
    </w:pPr>
  </w:style>
  <w:style w:type="paragraph" w:styleId="TOC3">
    <w:name w:val="toc 3"/>
    <w:basedOn w:val="Normal"/>
    <w:next w:val="Normal"/>
    <w:autoRedefine/>
    <w:uiPriority w:val="39"/>
    <w:unhideWhenUsed/>
    <w:rsid w:val="002B22AF"/>
    <w:pPr>
      <w:tabs>
        <w:tab w:val="right" w:leader="dot" w:pos="9360"/>
      </w:tabs>
      <w:spacing w:after="100"/>
      <w:ind w:left="1125" w:right="720" w:hanging="360"/>
    </w:pPr>
  </w:style>
  <w:style w:type="paragraph" w:styleId="TOC4">
    <w:name w:val="toc 4"/>
    <w:basedOn w:val="Normal"/>
    <w:next w:val="Normal"/>
    <w:autoRedefine/>
    <w:uiPriority w:val="99"/>
    <w:semiHidden/>
    <w:unhideWhenUsed/>
    <w:rsid w:val="002B22AF"/>
    <w:pPr>
      <w:spacing w:after="100"/>
      <w:ind w:left="720"/>
    </w:pPr>
  </w:style>
  <w:style w:type="paragraph" w:styleId="TOC5">
    <w:name w:val="toc 5"/>
    <w:basedOn w:val="Normal"/>
    <w:next w:val="Normal"/>
    <w:autoRedefine/>
    <w:uiPriority w:val="99"/>
    <w:semiHidden/>
    <w:unhideWhenUsed/>
    <w:rsid w:val="002B22AF"/>
    <w:pPr>
      <w:spacing w:after="100"/>
      <w:ind w:left="960"/>
    </w:pPr>
  </w:style>
  <w:style w:type="paragraph" w:styleId="TOC6">
    <w:name w:val="toc 6"/>
    <w:basedOn w:val="Normal"/>
    <w:next w:val="Normal"/>
    <w:autoRedefine/>
    <w:uiPriority w:val="99"/>
    <w:semiHidden/>
    <w:unhideWhenUsed/>
    <w:rsid w:val="002B22AF"/>
    <w:pPr>
      <w:spacing w:after="100"/>
      <w:ind w:left="1200"/>
    </w:pPr>
  </w:style>
  <w:style w:type="paragraph" w:styleId="TOC7">
    <w:name w:val="toc 7"/>
    <w:basedOn w:val="Normal"/>
    <w:next w:val="Normal"/>
    <w:autoRedefine/>
    <w:uiPriority w:val="99"/>
    <w:semiHidden/>
    <w:unhideWhenUsed/>
    <w:rsid w:val="002B22AF"/>
    <w:pPr>
      <w:spacing w:after="100"/>
      <w:ind w:left="1440"/>
    </w:pPr>
  </w:style>
  <w:style w:type="paragraph" w:styleId="TOC8">
    <w:name w:val="toc 8"/>
    <w:basedOn w:val="Normal"/>
    <w:next w:val="Normal"/>
    <w:autoRedefine/>
    <w:uiPriority w:val="99"/>
    <w:semiHidden/>
    <w:unhideWhenUsed/>
    <w:rsid w:val="002B22AF"/>
    <w:pPr>
      <w:spacing w:after="100"/>
      <w:ind w:left="1680"/>
    </w:pPr>
  </w:style>
  <w:style w:type="paragraph" w:styleId="TOC9">
    <w:name w:val="toc 9"/>
    <w:basedOn w:val="Normal"/>
    <w:next w:val="Normal"/>
    <w:autoRedefine/>
    <w:uiPriority w:val="99"/>
    <w:semiHidden/>
    <w:unhideWhenUsed/>
    <w:rsid w:val="002B22AF"/>
    <w:pPr>
      <w:spacing w:after="100"/>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12414">
      <w:bodyDiv w:val="1"/>
      <w:marLeft w:val="0"/>
      <w:marRight w:val="0"/>
      <w:marTop w:val="0"/>
      <w:marBottom w:val="0"/>
      <w:divBdr>
        <w:top w:val="none" w:sz="0" w:space="0" w:color="auto"/>
        <w:left w:val="none" w:sz="0" w:space="0" w:color="auto"/>
        <w:bottom w:val="none" w:sz="0" w:space="0" w:color="auto"/>
        <w:right w:val="none" w:sz="0" w:space="0" w:color="auto"/>
      </w:divBdr>
    </w:div>
    <w:div w:id="492835900">
      <w:bodyDiv w:val="1"/>
      <w:marLeft w:val="0"/>
      <w:marRight w:val="0"/>
      <w:marTop w:val="0"/>
      <w:marBottom w:val="0"/>
      <w:divBdr>
        <w:top w:val="none" w:sz="0" w:space="0" w:color="auto"/>
        <w:left w:val="none" w:sz="0" w:space="0" w:color="auto"/>
        <w:bottom w:val="none" w:sz="0" w:space="0" w:color="auto"/>
        <w:right w:val="none" w:sz="0" w:space="0" w:color="auto"/>
      </w:divBdr>
    </w:div>
    <w:div w:id="989407508">
      <w:bodyDiv w:val="1"/>
      <w:marLeft w:val="0"/>
      <w:marRight w:val="0"/>
      <w:marTop w:val="0"/>
      <w:marBottom w:val="0"/>
      <w:divBdr>
        <w:top w:val="none" w:sz="0" w:space="0" w:color="auto"/>
        <w:left w:val="none" w:sz="0" w:space="0" w:color="auto"/>
        <w:bottom w:val="none" w:sz="0" w:space="0" w:color="auto"/>
        <w:right w:val="none" w:sz="0" w:space="0" w:color="auto"/>
      </w:divBdr>
    </w:div>
    <w:div w:id="999190548">
      <w:bodyDiv w:val="1"/>
      <w:marLeft w:val="0"/>
      <w:marRight w:val="0"/>
      <w:marTop w:val="0"/>
      <w:marBottom w:val="0"/>
      <w:divBdr>
        <w:top w:val="none" w:sz="0" w:space="0" w:color="auto"/>
        <w:left w:val="none" w:sz="0" w:space="0" w:color="auto"/>
        <w:bottom w:val="none" w:sz="0" w:space="0" w:color="auto"/>
        <w:right w:val="none" w:sz="0" w:space="0" w:color="auto"/>
      </w:divBdr>
    </w:div>
    <w:div w:id="1445151293">
      <w:bodyDiv w:val="1"/>
      <w:marLeft w:val="0"/>
      <w:marRight w:val="0"/>
      <w:marTop w:val="0"/>
      <w:marBottom w:val="0"/>
      <w:divBdr>
        <w:top w:val="none" w:sz="0" w:space="0" w:color="auto"/>
        <w:left w:val="none" w:sz="0" w:space="0" w:color="auto"/>
        <w:bottom w:val="none" w:sz="0" w:space="0" w:color="auto"/>
        <w:right w:val="none" w:sz="0" w:space="0" w:color="auto"/>
      </w:divBdr>
    </w:div>
    <w:div w:id="1585652071">
      <w:bodyDiv w:val="1"/>
      <w:marLeft w:val="0"/>
      <w:marRight w:val="0"/>
      <w:marTop w:val="0"/>
      <w:marBottom w:val="0"/>
      <w:divBdr>
        <w:top w:val="none" w:sz="0" w:space="0" w:color="auto"/>
        <w:left w:val="none" w:sz="0" w:space="0" w:color="auto"/>
        <w:bottom w:val="none" w:sz="0" w:space="0" w:color="auto"/>
        <w:right w:val="none" w:sz="0" w:space="0" w:color="auto"/>
      </w:divBdr>
    </w:div>
    <w:div w:id="2022779166">
      <w:bodyDiv w:val="1"/>
      <w:marLeft w:val="0"/>
      <w:marRight w:val="0"/>
      <w:marTop w:val="0"/>
      <w:marBottom w:val="0"/>
      <w:divBdr>
        <w:top w:val="none" w:sz="0" w:space="0" w:color="auto"/>
        <w:left w:val="none" w:sz="0" w:space="0" w:color="auto"/>
        <w:bottom w:val="none" w:sz="0" w:space="0" w:color="auto"/>
        <w:right w:val="none" w:sz="0" w:space="0" w:color="auto"/>
      </w:divBdr>
    </w:div>
    <w:div w:id="203923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tomsu@velaw.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mithermantexas@gmail.com" TargetMode="External"/><Relationship Id="rId4" Type="http://schemas.openxmlformats.org/officeDocument/2006/relationships/settings" Target="settings.xml"/><Relationship Id="rId9" Type="http://schemas.openxmlformats.org/officeDocument/2006/relationships/hyperlink" Target="mailto:tholcomb@ve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97CAB-EDBA-4DAC-934E-0EDC7150E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3633</Words>
  <Characters>20712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2018-03-02T18:28:00Z</dcterms:created>
  <dcterms:modified xsi:type="dcterms:W3CDTF">2018-03-02T19:30:00Z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bca5b054-6d7f-460e-8943-ff18f47ab328</vt:lpwstr>
  </property>
  <property fmtid="{D5CDD505-2E9C-101B-9397-08002B2CF9AE}" pid="3" name="SWDocID">
    <vt:lpwstr>US 4902850v.1</vt:lpwstr>
  </property>
  <property fmtid="{D5CDD505-2E9C-101B-9397-08002B2CF9AE}" pid="4" name="DocID">
    <vt:lpwstr>US 5496005v.4</vt:lpwstr>
  </property>
</Properties>
</file>